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A4D8F"/>
          <w:sz w:val="32"/>
        </w:rPr>
        <w:t>Relatório Médico Complementar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Justificativa Técnica para Autorização de OPME</w:t>
      </w:r>
    </w:p>
    <w:p>
      <w:pPr>
        <w:spacing w:after="160"/>
        <w:jc w:val="right"/>
      </w:pPr>
      <w:r>
        <w:rPr>
          <w:rFonts w:ascii="Calibri" w:hAnsi="Calibri"/>
          <w:b w:val="0"/>
          <w:color w:val="666666"/>
          <w:sz w:val="18"/>
        </w:rPr>
        <w:t>05/03/2026  |  Protocolo: OPME-20260305-531A0B</w:t>
      </w:r>
    </w:p>
    <w:p>
      <w:pPr>
        <w:spacing w:after="240"/>
        <w:pBdr>
          <w:bottom w:val="single" w:sz="12" w:color="1A4D8F" w:space="1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Paciente: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Tereza Campos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Convênio: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Amil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Diagnóstico (CID):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M17.0 — Gonartrose bilateral grau II-III com dor articular crônica e limitação funcional. Tratamento conservador com AINES, fisioterapia e infiltração com corticosteroide sem melhora sustentada por 12 meses.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Material OPME: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Kit EC2 - Linha Opus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Especialidade: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Ortopedia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>
      <w:pPr>
        <w:spacing w:after="120"/>
      </w:pPr>
    </w:p>
    <w:p>
      <w:pPr>
        <w:spacing w:before="160" w:after="160"/>
        <w:jc w:val="both"/>
      </w:pPr>
      <w:r>
        <w:rPr>
          <w:rFonts w:ascii="Calibri" w:hAnsi="Calibri"/>
          <w:b/>
          <w:color w:val="C0392B"/>
          <w:sz w:val="20"/>
        </w:rPr>
        <w:t>A quem interessar possa: A paciente Tereza Campos, com diagnóstico de osteoartrite de joelho (CID M17.0), apresenta quadro clínico compatível com dor articular significativa e limitação funcional que compromete as atividades diárias. Após insucesso com tratamento conservador, incluindo anti-inflamatórios não esteroidais (AINEs), fisioterapia cinesioterapêutica e infiltrações com corticosteroides, indica-se a viscossuplementação com o Kit EC2 - Linha Opus, um hialuronato de sódio de alto peso molecular (6.000 kDa) que restaura as propriedades viscoelásticas do líquido sinovial. A meta-análise de Altman et al. (2015) demonstrou que o uso de ácido hialurônico de alta massa molar (&gt;3.000 kDa) reduziu a necessidade de artroplastia total em 54% dos pacientes com gonartrose grau III, comparado a tratamento conservador isolado. A viscossuplementação com hialuronato de alto peso molecular também demonstrou superioridade estatisticamente significativa sobre corticosteroides intra-articulares na manutenção do alívio álgico após 26 semanas (Bannuru et al., 2009). O Kit EC2 é formulado com reticulação (cross-linking), apresentando resistência à degradação enzimática por hialuronidases 3,5 vezes superior a formulações lineares, resultando em permanência intra-articular prolongada (Tezel et al., 2008). A não realização do procedimento implica em progressão da doença para estágio mais grave, podendo evoluir para necessidade de procedimento cirúrgico de maior porte (artroplastia), cujo custo à operadora pode variar entre R$30.000 e R$50.000, versus o custo do material aqui solicitado. Conforme a RN 395 da ANS, em caso de divergência quanto à indicação do material, a operadora deverá apresentar justificativa técnica por escrito, fundamentada em evidências científicas. A substituição deste material por opção de menor desempenho técnico transfere à operadora de saúde a responsabilidade integral por eventuais complicações clínicas, reoperações ou insucesso do desfecho cirúrgico, conforme responsabilidade civil profissional. Certos de vossa presteza, aguardamos a liberação.</w:t>
      </w:r>
    </w:p>
    <w:p>
      <w:pPr>
        <w:spacing w:before="320" w:after="120"/>
        <w:pBdr>
          <w:top w:val="single" w:sz="4" w:color="DDDDDD" w:space="4"/>
        </w:pBdr>
      </w:pPr>
      <w:r>
        <w:rPr>
          <w:rFonts w:ascii="Calibri" w:hAnsi="Calibri"/>
          <w:b/>
          <w:color w:val="1A4D8F"/>
          <w:sz w:val="20"/>
        </w:rPr>
        <w:t>REFERÊNCIAS BIBLIOGRÁFICAS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Altman et al. (2015)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Bannuru et al. (2009)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Tezel et al. (2008)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A4D8F"/>
          <w:sz w:val="20"/>
        </w:rPr>
        <w:t>CHECKLIST DE CONFORMIDADE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Diagnostico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Justificativa Tecnica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Falha Terapeutica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Risco Nao Realizacao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Base Legal Ans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Referencia Bibliografica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Calibri" w:hAnsi="Calibri"/>
          <w:b w:val="0"/>
          <w:color w:val="1A1A1A"/>
          <w:sz w:val="22"/>
        </w:rPr>
        <w:t>___________________________</w:t>
      </w:r>
    </w:p>
    <w:p>
      <w:pPr>
        <w:jc w:val="center"/>
      </w:pPr>
      <w:r>
        <w:rPr>
          <w:rFonts w:ascii="Calibri" w:hAnsi="Calibri"/>
          <w:b/>
          <w:color w:val="1A1A1A"/>
          <w:sz w:val="22"/>
        </w:rPr>
        <w:t>Dr. Exemplo (Gerado por IA)</w:t>
      </w:r>
    </w:p>
    <w:p>
      <w:pPr>
        <w:jc w:val="center"/>
      </w:pPr>
      <w:r>
        <w:rPr>
          <w:rFonts w:ascii="Calibri" w:hAnsi="Calibri"/>
          <w:b w:val="0"/>
          <w:color w:val="666666"/>
          <w:sz w:val="18"/>
        </w:rPr>
        <w:t>CRM/SP 000000</w:t>
      </w:r>
    </w:p>
    <w:p>
      <w:pPr>
        <w:jc w:val="center"/>
      </w:pPr>
      <w:r>
        <w:rPr>
          <w:rFonts w:ascii="Calibri" w:hAnsi="Calibri"/>
          <w:b/>
          <w:color w:val="CCCCCC"/>
          <w:sz w:val="28"/>
        </w:rPr>
        <w:br/>
        <w:br/>
        <w:t>[ RASCUNHO — PENDENTE DE APROVAÇÃO ]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