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A4D8F"/>
          <w:sz w:val="32"/>
        </w:rPr>
        <w:t>Relatório Médico Complementar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Justificativa Técnica para Autorização de OPME</w:t>
      </w:r>
    </w:p>
    <w:p>
      <w:pPr>
        <w:spacing w:after="160"/>
        <w:jc w:val="right"/>
      </w:pPr>
      <w:r>
        <w:rPr>
          <w:rFonts w:ascii="Calibri" w:hAnsi="Calibri"/>
          <w:b w:val="0"/>
          <w:color w:val="666666"/>
          <w:sz w:val="18"/>
        </w:rPr>
        <w:t>05/03/2026  |  Protocolo: OPME-20260305-01DB33</w:t>
      </w:r>
    </w:p>
    <w:p>
      <w:pPr>
        <w:spacing w:after="240"/>
        <w:pBdr>
          <w:bottom w:val="single" w:sz="12" w:color="1A4D8F" w:space="1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Paciente: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José Ferreira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Convênio: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Cassi</w:t>
            </w:r>
          </w:p>
        </w:tc>
      </w:tr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Diagnóstico (CID):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L97 — Úlcera vascular crônica de membro inferior direito em paciente vasculopata e diabético, com piora clínica após revascularização. Ferida com mais de 6 meses de evolução sem resposta ao tratamento convencional.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Material OPME: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Kit EC2 - Enxerto Composto</w:t>
            </w:r>
          </w:p>
        </w:tc>
      </w:tr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Especialidade: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Cirurgia Vascular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A4D8F"/>
          <w:sz w:val="22"/>
        </w:rPr>
        <w:t>RELATÓRIO MÉDICO COMPLEMENTAR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Paciente: José Ferreira Diagnóstico: Úlcera vascular crônica de membro inferior direito em paciente vasculopata e diabético, com piora clínica após revascularização (CID: L97). Material Solicitado: Kit EC2 - Enxerto Composto Código TUSS: [Inserir Código TUSS]</w:t>
      </w:r>
    </w:p>
    <w:p>
      <w:pPr>
        <w:spacing w:before="240" w:after="80"/>
      </w:pPr>
      <w:r>
        <w:rPr>
          <w:rFonts w:ascii="Calibri" w:hAnsi="Calibri"/>
          <w:b/>
          <w:color w:val="1A4D8F"/>
          <w:sz w:val="22"/>
        </w:rPr>
        <w:t>QUADRO CLÍNICO E FALHA TERAPÊUTICA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O paciente José Ferreira apresenta úlcera vascular crônica no membro inferior direito, com mais de 6 meses de evolução sem resposta ao tratamento convencional. A manutenção deste quadro inflamatório crônico, sem intervenção adequada, cria um ambiente bioquímico hostil dominado por citocinas pró-inflamatórias (IL-1β, TNF-α), acelerando a apoptose celular e a degradação irreversível da matriz extracelular. Tentativas de tratamento conservador, incluindo revascularização, não resultaram em melhora significativa, comprovando a refratariedade do quadro e a necessidade de intervenção com OPME (Teixeira FF et al., 2021).</w:t>
      </w:r>
    </w:p>
    <w:p>
      <w:pPr>
        <w:spacing w:before="240" w:after="80"/>
      </w:pPr>
      <w:r>
        <w:rPr>
          <w:rFonts w:ascii="Calibri" w:hAnsi="Calibri"/>
          <w:b/>
          <w:color w:val="1A4D8F"/>
          <w:sz w:val="22"/>
        </w:rPr>
        <w:t>JUSTIFICATIVA TÉCNICA E SUPERIORIDADE DO MATERIAL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O Kit EC2 - Enxerto Composto é essencial para o tratamento do paciente, pois proporciona uma abordagem minimamente invasiva com preservação do enxerto entre colheita e reimplantação, reduzindo riscos de contaminação e degradação do tecido. Contém células do estroma vascular (SVF) fundamentais para reparação tecidual. A técnica One S.T.E.P.™ utilizada preserva 98% dos adipócitos e libera MSCs viáveis, essenciais para a medicina regenerativa, conforme demonstrado por Levy D et al. (2019). A composição heterogênea da SVF (células do estroma vascular) é superior às ADSCs isoladas, oferecendo resultados terapêuticos mais eficazes (Bora P, Majumdar AS, 2017).</w:t>
      </w:r>
    </w:p>
    <w:p>
      <w:pPr>
        <w:spacing w:before="240" w:after="80"/>
      </w:pPr>
      <w:r>
        <w:rPr>
          <w:rFonts w:ascii="Calibri" w:hAnsi="Calibri"/>
          <w:b/>
          <w:color w:val="1A4D8F"/>
          <w:sz w:val="22"/>
        </w:rPr>
        <w:t>RISCO DA NÃO REALIZAÇÃO E IMPACTO FINANCEIRO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A não aprovação do Kit EC2 pode resultar na progressão da úlcera para um estágio mais grave, possivelmente levando à amputação, o que implicaria em custos significativamente maiores para a operadora, além de maior morbidade para o paciente. O tratamento profilático proposto é significativamente inferior ao custo de uma amputação, que pode variar entre R$30.000 e R$50.000 (Teixeira FF et al., 2021).</w:t>
      </w:r>
    </w:p>
    <w:p>
      <w:pPr>
        <w:spacing w:before="240" w:after="80"/>
      </w:pPr>
      <w:r>
        <w:rPr>
          <w:rFonts w:ascii="Calibri" w:hAnsi="Calibri"/>
          <w:b/>
          <w:color w:val="1A4D8F"/>
          <w:sz w:val="22"/>
        </w:rPr>
        <w:t>FUNDAMENTAÇÃO LEGAL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Conforme a RN 424 da ANS, cabe exclusivamente ao médico assistente determinar as características dos materiais OPME necessários. A RN 428/465 obriga a cobertura mínima dos procedimentos citados. Solicito que a operadora apresente justificativa de negativa por escrito, fundamentada em evidências científicas de mesmo nível das aqui citadas, sob pena de descumprimento da RN 395. O Código de Ética Médica reforça que compete ao médico usar o melhor do progresso científico em benefício do paciente.</w:t>
      </w:r>
    </w:p>
    <w:p>
      <w:pPr>
        <w:spacing w:before="240" w:after="80"/>
      </w:pPr>
      <w:r>
        <w:rPr>
          <w:rFonts w:ascii="Calibri" w:hAnsi="Calibri"/>
          <w:b/>
          <w:color w:val="1A4D8F"/>
          <w:sz w:val="22"/>
        </w:rPr>
        <w:t>FECHAMENTO CHECKMATE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A substituição deste material por opção de menor desempenho técnico transfere à operadora de saúde a responsabilidade integral por eventuais complicações clínicas, reoperações ou insucesso do desfecho cirúrgico, conforme responsabilidade civil profissional.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Certos de vossa presteza, aguardamos a liberação.</w:t>
      </w:r>
    </w:p>
    <w:p>
      <w:pPr>
        <w:spacing w:before="320" w:after="120"/>
        <w:pBdr>
          <w:top w:val="single" w:sz="4" w:color="DDDDDD" w:space="4"/>
        </w:pBdr>
      </w:pPr>
      <w:r>
        <w:rPr>
          <w:rFonts w:ascii="Calibri" w:hAnsi="Calibri"/>
          <w:b/>
          <w:color w:val="1A4D8F"/>
          <w:sz w:val="20"/>
        </w:rPr>
        <w:t>REFERÊNCIAS BIBLIOGRÁFICAS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■ Teixeira FF et al., 2021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■ Levy D et al., 2019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■ Bora P, Majumdar AS, 2017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b/>
          <w:color w:val="1A4D8F"/>
          <w:sz w:val="20"/>
        </w:rPr>
        <w:t>CHECKLIST DE CONFORMIDADE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Diagnostico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Justificativa Tecnica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Falha Terapeutica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Risco Nao Realizacao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Base Legal Ans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Referencia Bibliografica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Calibri" w:hAnsi="Calibri"/>
          <w:b w:val="0"/>
          <w:color w:val="1A1A1A"/>
          <w:sz w:val="22"/>
        </w:rPr>
        <w:t>___________________________</w:t>
      </w:r>
    </w:p>
    <w:p>
      <w:pPr>
        <w:jc w:val="center"/>
      </w:pPr>
      <w:r>
        <w:rPr>
          <w:rFonts w:ascii="Calibri" w:hAnsi="Calibri"/>
          <w:b/>
          <w:color w:val="1A1A1A"/>
          <w:sz w:val="22"/>
        </w:rPr>
        <w:t>Dr. Exemplo (Gerado por IA)</w:t>
      </w:r>
    </w:p>
    <w:p>
      <w:pPr>
        <w:jc w:val="center"/>
      </w:pPr>
      <w:r>
        <w:rPr>
          <w:rFonts w:ascii="Calibri" w:hAnsi="Calibri"/>
          <w:b w:val="0"/>
          <w:color w:val="666666"/>
          <w:sz w:val="18"/>
        </w:rPr>
        <w:t>CRM/SP 000000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