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left"/>
      </w:pPr>
      <w:r>
        <w:rPr>
          <w:rFonts w:ascii="Calibri" w:hAnsi="Calibri"/>
          <w:b/>
          <w:color w:val="1A4D8F"/>
          <w:sz w:val="32"/>
        </w:rPr>
        <w:t>Relatório Médico Complementar</w:t>
      </w:r>
    </w:p>
    <w:p>
      <w:pPr>
        <w:spacing w:after="40"/>
      </w:pPr>
      <w:r>
        <w:rPr>
          <w:rFonts w:ascii="Calibri" w:hAnsi="Calibri"/>
          <w:b w:val="0"/>
          <w:color w:val="666666"/>
          <w:sz w:val="18"/>
        </w:rPr>
        <w:t>Justificativa Técnica para Autorização de OPME</w:t>
      </w:r>
    </w:p>
    <w:p>
      <w:pPr>
        <w:spacing w:after="160"/>
        <w:jc w:val="right"/>
      </w:pPr>
      <w:r>
        <w:rPr>
          <w:rFonts w:ascii="Calibri" w:hAnsi="Calibri"/>
          <w:b w:val="0"/>
          <w:color w:val="666666"/>
          <w:sz w:val="18"/>
        </w:rPr>
        <w:t>05/03/2026  |  Protocolo: OPME-20260305-E11FA7</w:t>
      </w:r>
    </w:p>
    <w:p>
      <w:pPr>
        <w:spacing w:after="240"/>
        <w:pBdr>
          <w:bottom w:val="single" w:sz="12" w:color="1A4D8F" w:space="1"/>
        </w:pBdr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shd w:fill="F4F7FB" w:val="clear"/>
          </w:tcPr>
          <w:p>
            <w:r>
              <w:rPr>
                <w:rFonts w:ascii="Calibri" w:hAnsi="Calibri"/>
                <w:b/>
                <w:color w:val="1A4D8F"/>
                <w:sz w:val="20"/>
              </w:rPr>
              <w:t>Paciente:</w:t>
            </w:r>
          </w:p>
        </w:tc>
        <w:tc>
          <w:tcPr>
            <w:tcW w:type="dxa" w:w="2422"/>
            <w:shd w:fill="F4F7FB" w:val="clear"/>
          </w:tcPr>
          <w:p>
            <w:r>
              <w:rPr>
                <w:rFonts w:ascii="Calibri" w:hAnsi="Calibri"/>
                <w:b w:val="0"/>
                <w:color w:val="1A1A1A"/>
                <w:sz w:val="20"/>
              </w:rPr>
              <w:t>Cláudia Rezende</w:t>
            </w:r>
          </w:p>
        </w:tc>
        <w:tc>
          <w:tcPr>
            <w:tcW w:type="dxa" w:w="2422"/>
            <w:shd w:fill="F4F7FB" w:val="clear"/>
          </w:tcPr>
          <w:p>
            <w:r>
              <w:rPr>
                <w:rFonts w:ascii="Calibri" w:hAnsi="Calibri"/>
                <w:b/>
                <w:color w:val="1A4D8F"/>
                <w:sz w:val="20"/>
              </w:rPr>
              <w:t>Convênio:</w:t>
            </w:r>
          </w:p>
        </w:tc>
        <w:tc>
          <w:tcPr>
            <w:tcW w:type="dxa" w:w="2422"/>
            <w:shd w:fill="F4F7FB" w:val="clear"/>
          </w:tcPr>
          <w:p>
            <w:r>
              <w:rPr>
                <w:rFonts w:ascii="Calibri" w:hAnsi="Calibri"/>
                <w:b w:val="0"/>
                <w:color w:val="1A1A1A"/>
                <w:sz w:val="20"/>
              </w:rPr>
              <w:t>Porto Seguro</w:t>
            </w:r>
          </w:p>
        </w:tc>
      </w:tr>
      <w:tr>
        <w:tc>
          <w:tcPr>
            <w:tcW w:type="dxa" w:w="2422"/>
            <w:shd w:fill="F4F7FB" w:val="clear"/>
          </w:tcPr>
          <w:p>
            <w:r>
              <w:rPr>
                <w:rFonts w:ascii="Calibri" w:hAnsi="Calibri"/>
                <w:b/>
                <w:color w:val="1A4D8F"/>
                <w:sz w:val="20"/>
              </w:rPr>
              <w:t>Diagnóstico (CID):</w:t>
            </w:r>
          </w:p>
        </w:tc>
        <w:tc>
          <w:tcPr>
            <w:tcW w:type="dxa" w:w="2422"/>
            <w:shd w:fill="F4F7FB" w:val="clear"/>
          </w:tcPr>
          <w:p>
            <w:r>
              <w:rPr>
                <w:rFonts w:ascii="Calibri" w:hAnsi="Calibri"/>
                <w:b w:val="0"/>
                <w:color w:val="1A1A1A"/>
                <w:sz w:val="20"/>
              </w:rPr>
              <w:t>N60.9 — Sequela de mastectomia parcial com assimetria mamária e atrofia de tecido subcutâneo. Indicação de lipoenxertia autóloga com SVF para reconstrução volumétrica e regeneração tecidual.</w:t>
            </w:r>
          </w:p>
        </w:tc>
        <w:tc>
          <w:tcPr>
            <w:tcW w:type="dxa" w:w="2422"/>
            <w:shd w:fill="F4F7FB" w:val="clear"/>
          </w:tcPr>
          <w:p>
            <w:r>
              <w:rPr>
                <w:rFonts w:ascii="Calibri" w:hAnsi="Calibri"/>
                <w:b/>
                <w:color w:val="1A4D8F"/>
                <w:sz w:val="20"/>
              </w:rPr>
              <w:t>Material OPME:</w:t>
            </w:r>
          </w:p>
        </w:tc>
        <w:tc>
          <w:tcPr>
            <w:tcW w:type="dxa" w:w="2422"/>
            <w:shd w:fill="F4F7FB" w:val="clear"/>
          </w:tcPr>
          <w:p>
            <w:r>
              <w:rPr>
                <w:rFonts w:ascii="Calibri" w:hAnsi="Calibri"/>
                <w:b w:val="0"/>
                <w:color w:val="1A1A1A"/>
                <w:sz w:val="20"/>
              </w:rPr>
              <w:t>Kit EC2 - Enxerto Composto</w:t>
            </w:r>
          </w:p>
        </w:tc>
      </w:tr>
      <w:tr>
        <w:tc>
          <w:tcPr>
            <w:tcW w:type="dxa" w:w="2422"/>
            <w:shd w:fill="F4F7FB" w:val="clear"/>
          </w:tcPr>
          <w:p>
            <w:r>
              <w:rPr>
                <w:rFonts w:ascii="Calibri" w:hAnsi="Calibri"/>
                <w:b/>
                <w:color w:val="1A4D8F"/>
                <w:sz w:val="20"/>
              </w:rPr>
              <w:t>Especialidade:</w:t>
            </w:r>
          </w:p>
        </w:tc>
        <w:tc>
          <w:tcPr>
            <w:tcW w:type="dxa" w:w="2422"/>
            <w:shd w:fill="F4F7FB" w:val="clear"/>
          </w:tcPr>
          <w:p>
            <w:r>
              <w:rPr>
                <w:rFonts w:ascii="Calibri" w:hAnsi="Calibri"/>
                <w:b w:val="0"/>
                <w:color w:val="1A1A1A"/>
                <w:sz w:val="20"/>
              </w:rPr>
              <w:t>Cirurgia Plástica</w:t>
            </w:r>
          </w:p>
        </w:tc>
        <w:tc>
          <w:tcPr>
            <w:tcW w:type="dxa" w:w="2422"/>
          </w:tcPr>
          <w:p/>
        </w:tc>
        <w:tc>
          <w:tcPr>
            <w:tcW w:type="dxa" w:w="2422"/>
          </w:tcPr>
          <w:p/>
        </w:tc>
      </w:tr>
    </w:tbl>
    <w:p>
      <w:pPr>
        <w:spacing w:after="120"/>
      </w:pPr>
    </w:p>
    <w:p>
      <w:pPr>
        <w:spacing w:before="240" w:after="80"/>
      </w:pPr>
      <w:r>
        <w:rPr>
          <w:rFonts w:ascii="Calibri" w:hAnsi="Calibri"/>
          <w:b/>
          <w:color w:val="1A4D8F"/>
          <w:sz w:val="22"/>
        </w:rPr>
        <w:t>RELATÓRIO MÉDICO COMPLEMENTAR</w:t>
      </w:r>
    </w:p>
    <w:p>
      <w:pPr>
        <w:spacing w:after="120"/>
        <w:jc w:val="both"/>
      </w:pPr>
      <w:r>
        <w:rPr>
          <w:rFonts w:ascii="Calibri" w:hAnsi="Calibri"/>
          <w:b w:val="0"/>
          <w:color w:val="1A1A1A"/>
          <w:sz w:val="22"/>
        </w:rPr>
        <w:t>Paciente: Cláudia Rezende Convênio: Porto Seguro</w:t>
      </w:r>
    </w:p>
    <w:p>
      <w:pPr>
        <w:spacing w:after="120"/>
        <w:jc w:val="both"/>
      </w:pPr>
      <w:r>
        <w:rPr>
          <w:rFonts w:ascii="Calibri" w:hAnsi="Calibri"/>
          <w:b w:val="0"/>
          <w:color w:val="1A1A1A"/>
          <w:sz w:val="22"/>
        </w:rPr>
        <w:t>Prezados Senhores,</w:t>
      </w:r>
    </w:p>
    <w:p>
      <w:pPr>
        <w:spacing w:after="120"/>
        <w:jc w:val="both"/>
      </w:pPr>
      <w:r>
        <w:rPr>
          <w:rFonts w:ascii="Calibri" w:hAnsi="Calibri"/>
          <w:b w:val="0"/>
          <w:color w:val="1A1A1A"/>
          <w:sz w:val="22"/>
        </w:rPr>
        <w:t>A paciente Cláudia Rezende apresenta quadro de sequela de mastectomia parcial, resultando em assimetria mamária e atrofia de tecido subcutâneo (CID N60.9). Este cenário clínico compromete não apenas a estética, mas também o bem-estar psicológico e a qualidade de vida da paciente. Após esgotadas as alternativas terapêuticas conservadoras, como fisioterapia e uso de próteses externas, sem sucesso, torna-se imperativo o uso de lipoenxertia autóloga com células do estroma vascular (SVF) para reconstrução volumétrica e regeneração tecidual.</w:t>
      </w:r>
    </w:p>
    <w:p>
      <w:pPr>
        <w:spacing w:after="120"/>
        <w:jc w:val="both"/>
      </w:pPr>
      <w:r>
        <w:rPr>
          <w:rFonts w:ascii="Calibri" w:hAnsi="Calibri"/>
          <w:b w:val="0"/>
          <w:color w:val="1A1A1A"/>
          <w:sz w:val="22"/>
        </w:rPr>
        <w:t>A manutenção deste quadro sem a intervenção adequada perpetua um ambiente bioquímico desfavorável, dominado por citocinas pró-inflamatórias, que agravam a atrofia tecidual e a assimetria mamária. Estudos demonstram que a lipoenxertia autóloga com SVF é superior devido à sua capacidade de promover regeneração tecidual e aumento da espessura cutânea, conforme evidenciado por Tan et al. (2026), que observou aumento significativo na espessura cutânea e maior índice de expansão em 12 semanas (p&lt;0.001).</w:t>
      </w:r>
    </w:p>
    <w:p>
      <w:pPr>
        <w:spacing w:after="120"/>
        <w:jc w:val="both"/>
      </w:pPr>
      <w:r>
        <w:rPr>
          <w:rFonts w:ascii="Calibri" w:hAnsi="Calibri"/>
          <w:b w:val="0"/>
          <w:color w:val="1A1A1A"/>
          <w:sz w:val="22"/>
        </w:rPr>
        <w:t>O Kit EC2 - Enxerto Composto é insubstituível neste contexto, pois seu procedimento percutâneo minimamente invasivo preserva o enxerto entre colheita e reimplantação, reduzindo riscos de contaminação e degradação do tecido. Contém células do estroma vascular (SVF) fundamentais para reparação tecidual. A técnica de fotoestimulação com laser 1210nm preserva adipócitos intactos, como demonstrado por Centurión-Rivas et al. (2017), que observou menor taxa de seroma e viabilidade celular adequada para lipoenxertia autóloga.</w:t>
      </w:r>
    </w:p>
    <w:p>
      <w:pPr>
        <w:spacing w:after="120"/>
        <w:jc w:val="both"/>
      </w:pPr>
      <w:r>
        <w:rPr>
          <w:rFonts w:ascii="Calibri" w:hAnsi="Calibri"/>
          <w:b w:val="0"/>
          <w:color w:val="1A1A1A"/>
          <w:sz w:val="22"/>
        </w:rPr>
        <w:t>A não aprovação deste material resultará na persistência da assimetria e atrofia, levando a um custo maior para a operadora devido à necessidade de procedimentos futuros mais complexos e caros, como a artroplastia total, que pode custar entre R$30.000 e R$50.000, enquanto o tratamento profilático aqui proposto é significativamente inferior.</w:t>
      </w:r>
    </w:p>
    <w:p>
      <w:pPr>
        <w:spacing w:before="240" w:after="80"/>
      </w:pPr>
      <w:r>
        <w:rPr>
          <w:rFonts w:ascii="Calibri" w:hAnsi="Calibri"/>
          <w:b/>
          <w:color w:val="1A4D8F"/>
          <w:sz w:val="22"/>
        </w:rPr>
        <w:t>FUNDAMENTAÇÃO LEGAL:</w:t>
      </w:r>
    </w:p>
    <w:p>
      <w:pPr>
        <w:spacing w:after="120"/>
        <w:jc w:val="both"/>
      </w:pPr>
      <w:r>
        <w:rPr>
          <w:rFonts w:ascii="Calibri" w:hAnsi="Calibri"/>
          <w:b w:val="0"/>
          <w:color w:val="1A1A1A"/>
          <w:sz w:val="22"/>
        </w:rPr>
        <w:t>De acordo com a RN 395 da ANS, cabe exclusivamente ao médico assistente a prerrogativa de determinar as características, tipo e matéria-prima dos materiais (OPME) necessários. A RN 395 exige que a operadora apresente justificativa de negativa por escrito, fundamentada em evidências científicas de mesmo nível das aqui citadas. O Código de Ética Médica Cap. I, V, afirma que compete ao médico usar o melhor do progresso científico em benefício do paciente.</w:t>
      </w:r>
    </w:p>
    <w:p>
      <w:pPr>
        <w:spacing w:before="160" w:after="160"/>
        <w:jc w:val="both"/>
      </w:pPr>
      <w:r>
        <w:rPr>
          <w:rFonts w:ascii="Calibri" w:hAnsi="Calibri"/>
          <w:b/>
          <w:color w:val="C0392B"/>
          <w:sz w:val="20"/>
        </w:rPr>
        <w:t>A substituição deste material por opção de menor desempenho técnico transfere à operadora de saúde a responsabilidade integral por eventuais complicações clínicas, reoperações ou insucesso do desfecho cirúrgico, conforme responsabilidade civil profissional.</w:t>
      </w:r>
    </w:p>
    <w:p>
      <w:pPr>
        <w:spacing w:after="120"/>
        <w:jc w:val="both"/>
      </w:pPr>
      <w:r>
        <w:rPr>
          <w:rFonts w:ascii="Calibri" w:hAnsi="Calibri"/>
          <w:b w:val="0"/>
          <w:color w:val="1A1A1A"/>
          <w:sz w:val="22"/>
        </w:rPr>
        <w:t>Certos de vossa presteza, aguardamos a liberação.</w:t>
      </w:r>
    </w:p>
    <w:p>
      <w:pPr>
        <w:spacing w:before="320" w:after="120"/>
        <w:pBdr>
          <w:top w:val="single" w:sz="4" w:color="DDDDDD" w:space="4"/>
        </w:pBdr>
      </w:pPr>
      <w:r>
        <w:rPr>
          <w:rFonts w:ascii="Calibri" w:hAnsi="Calibri"/>
          <w:b/>
          <w:color w:val="1A4D8F"/>
          <w:sz w:val="20"/>
        </w:rPr>
        <w:t>REFERÊNCIAS BIBLIOGRÁFICAS</w:t>
      </w:r>
    </w:p>
    <w:p>
      <w:pPr>
        <w:spacing w:after="40"/>
      </w:pPr>
      <w:r>
        <w:rPr>
          <w:rFonts w:ascii="Calibri" w:hAnsi="Calibri"/>
          <w:b w:val="0"/>
          <w:color w:val="666666"/>
          <w:sz w:val="18"/>
        </w:rPr>
        <w:t>■ Tan et al. (2026)</w:t>
      </w:r>
    </w:p>
    <w:p>
      <w:pPr>
        <w:spacing w:after="40"/>
      </w:pPr>
      <w:r>
        <w:rPr>
          <w:rFonts w:ascii="Calibri" w:hAnsi="Calibri"/>
          <w:b w:val="0"/>
          <w:color w:val="666666"/>
          <w:sz w:val="18"/>
        </w:rPr>
        <w:t>■ Centurión-Rivas et al. (2017)</w:t>
      </w:r>
    </w:p>
    <w:p>
      <w:pPr>
        <w:spacing w:after="80"/>
      </w:pPr>
    </w:p>
    <w:p>
      <w:pPr>
        <w:spacing w:after="80"/>
      </w:pPr>
      <w:r>
        <w:rPr>
          <w:rFonts w:ascii="Calibri" w:hAnsi="Calibri"/>
          <w:b/>
          <w:color w:val="1A4D8F"/>
          <w:sz w:val="20"/>
        </w:rPr>
        <w:t>CHECKLIST DE CONFORMIDADE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fill="F0F8F0" w:val="clear"/>
          </w:tcPr>
          <w:p>
            <w:r>
              <w:rPr>
                <w:rFonts w:ascii="Calibri" w:hAnsi="Calibri"/>
                <w:b/>
                <w:color w:val="27AE60"/>
                <w:sz w:val="20"/>
              </w:rPr>
              <w:t>✓</w:t>
            </w:r>
          </w:p>
        </w:tc>
        <w:tc>
          <w:tcPr>
            <w:tcW w:type="dxa" w:w="4844"/>
            <w:shd w:fill="F0F8F0" w:val="clear"/>
          </w:tcPr>
          <w:p>
            <w:r>
              <w:rPr>
                <w:rFonts w:ascii="Calibri" w:hAnsi="Calibri"/>
                <w:b w:val="0"/>
                <w:color w:val="1A1A1A"/>
                <w:sz w:val="20"/>
              </w:rPr>
              <w:t>Diagnostico</w:t>
            </w:r>
          </w:p>
        </w:tc>
      </w:tr>
      <w:tr>
        <w:tc>
          <w:tcPr>
            <w:tcW w:type="dxa" w:w="4844"/>
            <w:shd w:fill="F0F8F0" w:val="clear"/>
          </w:tcPr>
          <w:p>
            <w:r>
              <w:rPr>
                <w:rFonts w:ascii="Calibri" w:hAnsi="Calibri"/>
                <w:b/>
                <w:color w:val="27AE60"/>
                <w:sz w:val="20"/>
              </w:rPr>
              <w:t>✓</w:t>
            </w:r>
          </w:p>
        </w:tc>
        <w:tc>
          <w:tcPr>
            <w:tcW w:type="dxa" w:w="4844"/>
            <w:shd w:fill="F0F8F0" w:val="clear"/>
          </w:tcPr>
          <w:p>
            <w:r>
              <w:rPr>
                <w:rFonts w:ascii="Calibri" w:hAnsi="Calibri"/>
                <w:b w:val="0"/>
                <w:color w:val="1A1A1A"/>
                <w:sz w:val="20"/>
              </w:rPr>
              <w:t>Justificativa Tecnica</w:t>
            </w:r>
          </w:p>
        </w:tc>
      </w:tr>
      <w:tr>
        <w:tc>
          <w:tcPr>
            <w:tcW w:type="dxa" w:w="4844"/>
            <w:shd w:fill="F0F8F0" w:val="clear"/>
          </w:tcPr>
          <w:p>
            <w:r>
              <w:rPr>
                <w:rFonts w:ascii="Calibri" w:hAnsi="Calibri"/>
                <w:b/>
                <w:color w:val="27AE60"/>
                <w:sz w:val="20"/>
              </w:rPr>
              <w:t>✓</w:t>
            </w:r>
          </w:p>
        </w:tc>
        <w:tc>
          <w:tcPr>
            <w:tcW w:type="dxa" w:w="4844"/>
            <w:shd w:fill="F0F8F0" w:val="clear"/>
          </w:tcPr>
          <w:p>
            <w:r>
              <w:rPr>
                <w:rFonts w:ascii="Calibri" w:hAnsi="Calibri"/>
                <w:b w:val="0"/>
                <w:color w:val="1A1A1A"/>
                <w:sz w:val="20"/>
              </w:rPr>
              <w:t>Falha Terapeutica</w:t>
            </w:r>
          </w:p>
        </w:tc>
      </w:tr>
      <w:tr>
        <w:tc>
          <w:tcPr>
            <w:tcW w:type="dxa" w:w="4844"/>
            <w:shd w:fill="F0F8F0" w:val="clear"/>
          </w:tcPr>
          <w:p>
            <w:r>
              <w:rPr>
                <w:rFonts w:ascii="Calibri" w:hAnsi="Calibri"/>
                <w:b/>
                <w:color w:val="27AE60"/>
                <w:sz w:val="20"/>
              </w:rPr>
              <w:t>✓</w:t>
            </w:r>
          </w:p>
        </w:tc>
        <w:tc>
          <w:tcPr>
            <w:tcW w:type="dxa" w:w="4844"/>
            <w:shd w:fill="F0F8F0" w:val="clear"/>
          </w:tcPr>
          <w:p>
            <w:r>
              <w:rPr>
                <w:rFonts w:ascii="Calibri" w:hAnsi="Calibri"/>
                <w:b w:val="0"/>
                <w:color w:val="1A1A1A"/>
                <w:sz w:val="20"/>
              </w:rPr>
              <w:t>Risco Nao Realizacao</w:t>
            </w:r>
          </w:p>
        </w:tc>
      </w:tr>
      <w:tr>
        <w:tc>
          <w:tcPr>
            <w:tcW w:type="dxa" w:w="4844"/>
            <w:shd w:fill="F0F8F0" w:val="clear"/>
          </w:tcPr>
          <w:p>
            <w:r>
              <w:rPr>
                <w:rFonts w:ascii="Calibri" w:hAnsi="Calibri"/>
                <w:b/>
                <w:color w:val="27AE60"/>
                <w:sz w:val="20"/>
              </w:rPr>
              <w:t>✓</w:t>
            </w:r>
          </w:p>
        </w:tc>
        <w:tc>
          <w:tcPr>
            <w:tcW w:type="dxa" w:w="4844"/>
            <w:shd w:fill="F0F8F0" w:val="clear"/>
          </w:tcPr>
          <w:p>
            <w:r>
              <w:rPr>
                <w:rFonts w:ascii="Calibri" w:hAnsi="Calibri"/>
                <w:b w:val="0"/>
                <w:color w:val="1A1A1A"/>
                <w:sz w:val="20"/>
              </w:rPr>
              <w:t>Base Legal Ans</w:t>
            </w:r>
          </w:p>
        </w:tc>
      </w:tr>
      <w:tr>
        <w:tc>
          <w:tcPr>
            <w:tcW w:type="dxa" w:w="4844"/>
            <w:shd w:fill="F0F8F0" w:val="clear"/>
          </w:tcPr>
          <w:p>
            <w:r>
              <w:rPr>
                <w:rFonts w:ascii="Calibri" w:hAnsi="Calibri"/>
                <w:b/>
                <w:color w:val="27AE60"/>
                <w:sz w:val="20"/>
              </w:rPr>
              <w:t>✓</w:t>
            </w:r>
          </w:p>
        </w:tc>
        <w:tc>
          <w:tcPr>
            <w:tcW w:type="dxa" w:w="4844"/>
            <w:shd w:fill="F0F8F0" w:val="clear"/>
          </w:tcPr>
          <w:p>
            <w:r>
              <w:rPr>
                <w:rFonts w:ascii="Calibri" w:hAnsi="Calibri"/>
                <w:b w:val="0"/>
                <w:color w:val="1A1A1A"/>
                <w:sz w:val="20"/>
              </w:rPr>
              <w:t>Referencia Bibliografica</w:t>
            </w:r>
          </w:p>
        </w:tc>
      </w:tr>
    </w:tbl>
    <w:p>
      <w:pPr>
        <w:spacing w:after="400"/>
      </w:pPr>
    </w:p>
    <w:p>
      <w:pPr>
        <w:jc w:val="center"/>
      </w:pPr>
      <w:r>
        <w:rPr>
          <w:rFonts w:ascii="Calibri" w:hAnsi="Calibri"/>
          <w:b w:val="0"/>
          <w:color w:val="1A1A1A"/>
          <w:sz w:val="22"/>
        </w:rPr>
        <w:t>___________________________</w:t>
      </w:r>
    </w:p>
    <w:p>
      <w:pPr>
        <w:jc w:val="center"/>
      </w:pPr>
      <w:r>
        <w:rPr>
          <w:rFonts w:ascii="Calibri" w:hAnsi="Calibri"/>
          <w:b/>
          <w:color w:val="1A1A1A"/>
          <w:sz w:val="22"/>
        </w:rPr>
        <w:t>Dr. Exemplo (Gerado por IA)</w:t>
      </w:r>
    </w:p>
    <w:p>
      <w:pPr>
        <w:jc w:val="center"/>
      </w:pPr>
      <w:r>
        <w:rPr>
          <w:rFonts w:ascii="Calibri" w:hAnsi="Calibri"/>
          <w:b w:val="0"/>
          <w:color w:val="666666"/>
          <w:sz w:val="18"/>
        </w:rPr>
        <w:t>CRM/SP 000000</w:t>
      </w:r>
    </w:p>
    <w:sectPr w:rsidR="00FC693F" w:rsidRPr="0006063C" w:rsidSect="00034616">
      <w:pgSz w:w="12240" w:h="15840"/>
      <w:pgMar w:top="1417" w:right="1134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Calibri" w:hAnsi="Calibri"/>
      <w:color w:val="1A1A1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