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A4D8F"/>
          <w:sz w:val="32"/>
        </w:rPr>
        <w:t>Relatório Médico Complementar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Justificativa Técnica para Autorização de OPME</w:t>
      </w:r>
    </w:p>
    <w:p>
      <w:pPr>
        <w:spacing w:after="160"/>
        <w:jc w:val="right"/>
      </w:pPr>
      <w:r>
        <w:rPr>
          <w:rFonts w:ascii="Calibri" w:hAnsi="Calibri"/>
          <w:b w:val="0"/>
          <w:color w:val="666666"/>
          <w:sz w:val="18"/>
        </w:rPr>
        <w:t>05/03/2026  |  Protocolo: OPME-20260305-E983CE</w:t>
      </w:r>
    </w:p>
    <w:p>
      <w:pPr>
        <w:spacing w:after="240"/>
        <w:pBdr>
          <w:bottom w:val="single" w:sz="12" w:color="1A4D8F" w:space="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Paciente: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Mário Lopes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Convênio: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Bradesco Saúde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Diagnóstico (CID):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M79.1 — Mialgia crônica cervical e lombar com pontos gatilho miofasciais bilaterais. Falha terapêutica com AINES, relaxantes musculares e fisioterapia convencional por 18 meses.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Material OPME: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Kit FO - Laser Cirúrgico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Especialidade: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Ortopedia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Justificativa Clínica: O paciente Mário Lopes, diagnosticado com mialgia crônica cervical e lombar com pontos gatilho miofasciais bilaterais (CID M79.1), apresenta quadro refratário ao tratamento conservador, incluindo o uso de AINEs, relaxantes musculares e fisioterapia convencional por 18 meses. A manutenção deste quadro sem intervenção adequada resulta em um ambiente bioquímico hostil, dominado por citocinas pró-inflamatórias, acelerando a apoptose celular e a degradação irreversível do tecido muscular. A progressão para o uso do Kit FO - Laser Cirúrgico é mandatória para evitar a evolução para perda funcional irreversível e a necessidade de procedimentos mais invasivos e de maior morbidade.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JUSTIFICATIVA TÉCNICA E SUPERIORIDADE DO MATERIAL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O Kit FO - Laser Cirúrgico, com suas propriedades de corte e coagulação simultâneos, oferece extrema precisão cirúrgica e menor dano térmico aos tecidos adjacentes. A tecnologia de laser permite uma recuperação mais rápida do paciente e possibilita a realização de procedimentos em regime de Day Clinic. Diferente de tratamentos genéricos, o efeito fotoquímico do laser desencadeia mudanças bioquímicas intracelulares, comparáveis ao processo de fotossíntese em plantas, promovendo cicatrização e analgesia (Cotler et al., 2015). Além disso, a LTBI estimula a produção de ATP intracelular, melhora a microcirculação local e promove a síntese de colágeno no reparo tecidual (Simunovic et al., 2000).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RISCO DA NÃO REALIZAÇÃO E IMPACTO FINANCEIRO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A negativa do procedimento pode levar à progressão da doença para um estágio mais grave, resultando em maior morbidade e necessidade de intervenções mais custosas, como cirurgias de maior porte. O tratamento profilático aqui proposto é significativamente inferior ao custo de uma intervenção cirúrgica mais invasiva e suas complicações associadas.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FUNDAMENTAÇÃO LEGAL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Conforme a Resolução Normativa 395 da ANS, cabe exclusivamente ao médico assistente a prerrogativa de determinar as características, tipo e matéria-prima dos materiais OPME. Os procedimentos citados são de cobertura mínima obrigatória pela ANS. Solicito que a operadora apresente justificativa de negativa por escrito, fundamentada em evidências científicas de mesmo nível das aqui citadas, conforme a RN 395, sob pena de descumprimento. O Código de Ética Médica, Cap. I, V, compete ao médico usar o melhor do progresso científico em benefício do paciente.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FECHAMENTO CHECKMATE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A substituição deste material por opção de menor desempenho técnico transfere à operadora de saúde a responsabilidade integral por eventuais complicações clínicas, reoperações ou insucesso do desfecho cirúrgico, conforme responsabilidade civil profissional. Certos de vossa presteza, aguardamos a liberação.</w:t>
      </w:r>
    </w:p>
    <w:p>
      <w:pPr>
        <w:spacing w:before="320" w:after="120"/>
        <w:pBdr>
          <w:top w:val="single" w:sz="4" w:color="DDDDDD" w:space="4"/>
        </w:pBdr>
      </w:pPr>
      <w:r>
        <w:rPr>
          <w:rFonts w:ascii="Calibri" w:hAnsi="Calibri"/>
          <w:b/>
          <w:color w:val="1A4D8F"/>
          <w:sz w:val="20"/>
        </w:rPr>
        <w:t>REFERÊNCIAS BIBLIOGRÁFICAS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Cotler et al., 2015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Simunovic et al., 2000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A4D8F"/>
          <w:sz w:val="20"/>
        </w:rPr>
        <w:t>CHECKLIST DE CONFORMIDADE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Diagnostico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Justificativa Tecnica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Falha Terapeutica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Risco Nao Realizacao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Base Legal Ans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Referencia Bibliografica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Calibri" w:hAnsi="Calibri"/>
          <w:b w:val="0"/>
          <w:color w:val="1A1A1A"/>
          <w:sz w:val="22"/>
        </w:rPr>
        <w:t>___________________________</w:t>
      </w:r>
    </w:p>
    <w:p>
      <w:pPr>
        <w:jc w:val="center"/>
      </w:pPr>
      <w:r>
        <w:rPr>
          <w:rFonts w:ascii="Calibri" w:hAnsi="Calibri"/>
          <w:b/>
          <w:color w:val="1A1A1A"/>
          <w:sz w:val="22"/>
        </w:rPr>
        <w:t>Dr. Exemplo (Gerado por IA)</w:t>
      </w:r>
    </w:p>
    <w:p>
      <w:pPr>
        <w:jc w:val="center"/>
      </w:pPr>
      <w:r>
        <w:rPr>
          <w:rFonts w:ascii="Calibri" w:hAnsi="Calibri"/>
          <w:b w:val="0"/>
          <w:color w:val="666666"/>
          <w:sz w:val="18"/>
        </w:rPr>
        <w:t>CRM/SP 000000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