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“Wide World Importers”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18A9E87A" w:rsidR="006B548A" w:rsidRPr="002E4D52" w:rsidRDefault="002E4D52" w:rsidP="002E4D52">
            <w:pPr>
              <w:jc w:val="center"/>
              <w:rPr>
                <w:iCs/>
              </w:rPr>
            </w:pPr>
            <w:r w:rsidRPr="002E4D52">
              <w:rPr>
                <w:iCs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3CCEE570" w:rsidR="006B548A" w:rsidRPr="002E4D52" w:rsidRDefault="00F07552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D70140B" w:rsidR="006B548A" w:rsidRPr="002E4D52" w:rsidRDefault="00242C81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4574D19A" w:rsidR="006B548A" w:rsidRPr="002E4D52" w:rsidRDefault="00D47B9F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4FE36652" w:rsidR="000E61F6" w:rsidRPr="002E4D52" w:rsidRDefault="000C584D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“Chiller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AB61072" w:rsidR="000E61F6" w:rsidRPr="002E4D52" w:rsidRDefault="00C258FC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132C7F7F" w:rsidR="00E80B76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0EF7A9B0" w:rsidR="00E80B76" w:rsidRPr="002E4D52" w:rsidRDefault="00937FD3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r w:rsidRPr="00706479">
              <w:rPr>
                <w:iCs/>
              </w:rPr>
              <w:t>token</w:t>
            </w:r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1C7F9B85" w:rsidR="00E80B76" w:rsidRPr="002E4D52" w:rsidRDefault="00FE342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5AE96B31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47C22DB6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Pr="00313A18" w:rsidRDefault="00327DB9" w:rsidP="0044675C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Pr="00313A18" w:rsidRDefault="00327DB9" w:rsidP="000E61F6">
            <w:pPr>
              <w:rPr>
                <w:iCs/>
              </w:rPr>
            </w:pPr>
            <w:r w:rsidRPr="00313A18">
              <w:rPr>
                <w:iCs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F608311" w:rsidR="00327DB9" w:rsidRPr="00313A18" w:rsidRDefault="00313A18" w:rsidP="004130AE">
            <w:pPr>
              <w:jc w:val="center"/>
              <w:rPr>
                <w:iCs/>
                <w:color w:val="A6A6A6" w:themeColor="background1" w:themeShade="A6"/>
              </w:rPr>
            </w:pPr>
            <w:r w:rsidRPr="00313A18">
              <w:rPr>
                <w:iCs/>
              </w:rPr>
              <w:t>S</w:t>
            </w: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filegroups</w:t>
      </w:r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>Microsoft docs - files &amp; filegroups</w:t>
        </w:r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filegroups secundários e a um destes foi-lhe atribuído a característica de “default”, deixando o filegroup primário apenas para “system tables and objects”.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“join queries”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filegroups</w:t>
      </w:r>
      <w:r w:rsidR="00271208">
        <w:rPr>
          <w:iCs/>
        </w:rPr>
        <w:t>. Em contrapartida, tabelas raramente atualizadas com novos dados ou com um número limitado de entradas (e.g. “Continent”, “Country”) foram agrupadas n</w:t>
      </w:r>
      <w:r w:rsidR="008502E9">
        <w:rPr>
          <w:iCs/>
        </w:rPr>
        <w:t>o mesmo filegroup.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r w:rsidRPr="00723727">
              <w:rPr>
                <w:i/>
                <w:iCs/>
              </w:rPr>
              <w:t>Wwiglobal_primary</w:t>
            </w:r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System tables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>Continent, Country, StateProvince, SalesTerritory, State_Country, CityName, City, Token, Error, Logistic, TaxRate, Currency, Color, Package, BusinessCategory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(default)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SalesOrderHeader, Employee, ErrorLogs, ColumnInfo, Estimation, SystemUser, Discount, ProductModel, Size, Contact, BuyingGroup,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SalesOrderDetails, CurrencyRate, Salesman, PostalCode, Address, Customer, Color_Product,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Este schema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schema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Shipments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schema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Customers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>Este schema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Location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>Este schema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CompanyResources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schema tem como objetivo agrupar as tabelas </w:t>
            </w:r>
            <w:r w:rsidR="00D14D2C" w:rsidRPr="00706479">
              <w:t>relacionadas com recursos da wwi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Authentication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schema tem como objetivo agrupar o sistema de autenticação de clientes incluindo tabelas como </w:t>
            </w:r>
            <w:r w:rsidRPr="00D14D2C">
              <w:t>‘</w:t>
            </w:r>
            <w:r>
              <w:t>SystemUser’ e ‘Token’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8DFCEF2" w:rsidR="00A97BFD" w:rsidRPr="0058732A" w:rsidRDefault="00D9125B" w:rsidP="0036544B">
            <w:pPr>
              <w:rPr>
                <w:i/>
                <w:lang w:val="en-US"/>
              </w:rPr>
            </w:pPr>
            <w:r w:rsidRPr="0058732A">
              <w:rPr>
                <w:i/>
                <w:lang w:val="en-US"/>
              </w:rPr>
              <w:t>Dbo.</w:t>
            </w:r>
            <w:r w:rsidR="0058732A">
              <w:rPr>
                <w:i/>
                <w:lang w:val="en-US"/>
              </w:rPr>
              <w:t>vw_</w:t>
            </w:r>
            <w:r w:rsidRPr="0058732A">
              <w:rPr>
                <w:i/>
                <w:lang w:val="en-US"/>
              </w:rPr>
              <w:t>all_fk_cols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view permite obter a lista </w:t>
            </w:r>
            <w:r w:rsidR="00D9125B">
              <w:rPr>
                <w:iCs/>
              </w:rPr>
              <w:t xml:space="preserve">de </w:t>
            </w:r>
            <w:r w:rsidR="00D9125B" w:rsidRPr="00D9125B">
              <w:rPr>
                <w:i/>
              </w:rPr>
              <w:t>foreign keys</w:t>
            </w:r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C3CC34A" w:rsidR="00A97BFD" w:rsidRPr="0058732A" w:rsidRDefault="00D9125B" w:rsidP="0036544B">
            <w:pPr>
              <w:rPr>
                <w:lang w:val="en-US"/>
              </w:rPr>
            </w:pPr>
            <w:r w:rsidRPr="0058732A">
              <w:rPr>
                <w:lang w:val="en-US"/>
              </w:rPr>
              <w:t>Dbo.</w:t>
            </w:r>
            <w:r w:rsidR="0058732A">
              <w:rPr>
                <w:lang w:val="en-US"/>
              </w:rPr>
              <w:t>vw</w:t>
            </w:r>
            <w:r w:rsidR="0058732A" w:rsidRPr="0058732A">
              <w:rPr>
                <w:lang w:val="en-US"/>
              </w:rPr>
              <w:t>_</w:t>
            </w:r>
            <w:r w:rsidRPr="0058732A">
              <w:rPr>
                <w:lang w:val="en-US"/>
              </w:rPr>
              <w:t>all_pk_cols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>Esta view permite obter a lista de colunas com chaves primárias e correspondentes tabelas e schemas</w:t>
            </w:r>
          </w:p>
        </w:tc>
      </w:tr>
      <w:tr w:rsidR="0058732A" w14:paraId="212F3271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2B9EF" w14:textId="6DDA54D3" w:rsidR="0058732A" w:rsidRPr="0058732A" w:rsidRDefault="0058732A" w:rsidP="0036544B">
            <w:pPr>
              <w:rPr>
                <w:lang w:val="en-US"/>
              </w:rPr>
            </w:pPr>
            <w:r>
              <w:rPr>
                <w:lang w:val="en-US"/>
              </w:rPr>
              <w:t>Dbo.vw_unique_cols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3DD57" w14:textId="152197E4" w:rsidR="0058732A" w:rsidRPr="0058732A" w:rsidRDefault="0058732A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 lista de colunas únicas, </w:t>
            </w:r>
            <w:r w:rsidRPr="0058732A">
              <w:rPr>
                <w:i/>
              </w:rPr>
              <w:t>unique constraint</w:t>
            </w:r>
            <w:r>
              <w:rPr>
                <w:i/>
              </w:rPr>
              <w:t xml:space="preserve">s </w:t>
            </w:r>
          </w:p>
        </w:tc>
      </w:tr>
      <w:tr w:rsidR="0058732A" w14:paraId="508AF9A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10FB1" w14:textId="6A8D1108" w:rsidR="0058732A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t>Sales.vw_SaleProductDetails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3C2F6" w14:textId="6E0AB1B8" w:rsidR="0058732A" w:rsidRDefault="00A17C3F" w:rsidP="0036544B">
            <w:pPr>
              <w:rPr>
                <w:iCs/>
              </w:rPr>
            </w:pPr>
            <w:r>
              <w:rPr>
                <w:iCs/>
              </w:rPr>
              <w:t>Esta view permite obter a lista os campos calculados da tabela Sales.SalesOrderDetails, (e.g. ProductTotal que corresponde ao valor total a pagar por um produto, TaxAmount valor total a pagar de taxas pelo produto)</w:t>
            </w:r>
          </w:p>
        </w:tc>
      </w:tr>
      <w:tr w:rsidR="00A17C3F" w14:paraId="2EF7D588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70A826" w14:textId="62411D46" w:rsidR="00A17C3F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Sales.vw_SalesInvoice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EF7F69" w14:textId="144DEC64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as características de uma venda. Entre estas características estão presentes o </w:t>
            </w:r>
            <w:r w:rsidRPr="00A17C3F">
              <w:rPr>
                <w:i/>
              </w:rPr>
              <w:t>valor total da venda</w:t>
            </w:r>
            <w:r>
              <w:rPr>
                <w:iCs/>
              </w:rPr>
              <w:t xml:space="preserve">, </w:t>
            </w:r>
            <w:r w:rsidRPr="00A17C3F">
              <w:rPr>
                <w:i/>
              </w:rPr>
              <w:t>o número total de produtos da venda</w:t>
            </w:r>
            <w:r>
              <w:rPr>
                <w:iCs/>
              </w:rPr>
              <w:t xml:space="preserve">, o </w:t>
            </w:r>
            <w:r w:rsidRPr="00A17C3F">
              <w:rPr>
                <w:i/>
              </w:rPr>
              <w:t>tipo de produtos</w:t>
            </w:r>
            <w:r>
              <w:rPr>
                <w:iCs/>
              </w:rPr>
              <w:t xml:space="preserve"> (chiller ou dry), juntamente com algumas colunas já existentes em SalesOrderHeader</w:t>
            </w:r>
          </w:p>
        </w:tc>
      </w:tr>
      <w:tr w:rsidR="00DF2DDA" w14:paraId="62D5205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31B18E" w14:textId="6D050D5F" w:rsidR="00DF2DDA" w:rsidRDefault="00DF2DDA" w:rsidP="0036544B">
            <w:pPr>
              <w:rPr>
                <w:lang w:val="en-US"/>
              </w:rPr>
            </w:pPr>
            <w:r>
              <w:rPr>
                <w:lang w:val="en-US"/>
              </w:rPr>
              <w:t>Dbo.vw_last_monitoring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756CA0" w14:textId="759CC812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Esta view permite obter o resultado da ultima execução do sp de monitorização do sistema de base de dados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4DB2EAD" w:rsidR="007B3DBA" w:rsidRPr="007B3DBA" w:rsidRDefault="007B3DBA" w:rsidP="007B3DBA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Sales.fn_checkSalesODetailsEntry</w:t>
            </w:r>
          </w:p>
        </w:tc>
        <w:tc>
          <w:tcPr>
            <w:tcW w:w="1418" w:type="dxa"/>
          </w:tcPr>
          <w:p w14:paraId="5D74FFC4" w14:textId="11A5918D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4FCAE568" w14:textId="77777777" w:rsidR="00C640C8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 @saleId int,</w:t>
            </w:r>
          </w:p>
          <w:p w14:paraId="6C84EC39" w14:textId="7EB76A51" w:rsidR="007B3DBA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@productId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2F306CC6" w:rsidR="00C640C8" w:rsidRPr="007B3DBA" w:rsidRDefault="0036544B" w:rsidP="00C640C8">
            <w:pPr>
              <w:rPr>
                <w:iCs/>
              </w:rPr>
            </w:pPr>
            <w:r w:rsidRPr="007B3DBA">
              <w:rPr>
                <w:iCs/>
              </w:rPr>
              <w:t>Permite</w:t>
            </w:r>
            <w:r w:rsidR="007B3DBA">
              <w:rPr>
                <w:iCs/>
              </w:rPr>
              <w:t xml:space="preserve"> saber se um produto já foi adicionado a uma compra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07854ABE" w:rsidR="00C640C8" w:rsidRPr="007B3DBA" w:rsidRDefault="007B3DB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Sales.fn_checkSale</w:t>
            </w:r>
          </w:p>
        </w:tc>
        <w:tc>
          <w:tcPr>
            <w:tcW w:w="1418" w:type="dxa"/>
          </w:tcPr>
          <w:p w14:paraId="3076EC2A" w14:textId="5EE61D43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5D4ED362" w14:textId="14E81B82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@saleId int</w:t>
            </w:r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4ACA7A7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Permite saber se uma determinada compra já existe</w:t>
            </w:r>
          </w:p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5D1FB5B2" w:rsidR="00B2739F" w:rsidRPr="00B2739F" w:rsidRDefault="00706479" w:rsidP="00B2739F">
      <w:r>
        <w:t>Observação: Os stored procedures referentes à migração</w:t>
      </w:r>
      <w:r w:rsidR="00DA5922">
        <w:t xml:space="preserve"> de dados e à inserção de dados por defeito (e.g. sp_insert_error_messages,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r w:rsidRPr="00706479">
              <w:rPr>
                <w:i/>
              </w:rPr>
              <w:t>Dbo.sp_generate_action</w:t>
            </w:r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>tableName varchar</w:t>
            </w:r>
            <w:r w:rsidRPr="00706479">
              <w:rPr>
                <w:iCs/>
              </w:rPr>
              <w:t>(</w:t>
            </w:r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>action varchar(100)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stored procedures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r w:rsidR="00E837B5" w:rsidRPr="00E837B5">
              <w:rPr>
                <w:i/>
              </w:rPr>
              <w:t>insert</w:t>
            </w:r>
            <w:r w:rsidR="00E837B5">
              <w:rPr>
                <w:iCs/>
              </w:rPr>
              <w:t xml:space="preserve">, </w:t>
            </w:r>
            <w:r w:rsidR="00E837B5" w:rsidRPr="00E837B5">
              <w:rPr>
                <w:i/>
              </w:rPr>
              <w:t>update</w:t>
            </w:r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9DAF93" w:rsidR="0044675C" w:rsidRPr="00706479" w:rsidRDefault="00D9125B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Dbo.sp_throw</w:t>
            </w:r>
            <w:r w:rsidR="00B52A9F">
              <w:rPr>
                <w:iCs/>
              </w:rPr>
              <w:t>_error</w:t>
            </w:r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@state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@param1 varchar(100)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>@param2 varchar(100) = null</w:t>
            </w:r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logs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r w:rsidR="00D9125B" w:rsidRPr="00D9125B">
              <w:rPr>
                <w:i/>
              </w:rPr>
              <w:t>ErrorLogs</w:t>
            </w:r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Dbo.sp_validate_pk</w:t>
            </w:r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@table varchar(100),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@col varchar(100),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Dbo.sp_validate_fk</w:t>
            </w:r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@parent_table varchar(100),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@parent_col varchar(100),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  <w:tr w:rsidR="009B114A" w:rsidRPr="007B3DBA" w14:paraId="5BD4F75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219876" w14:textId="20BA109C" w:rsidR="009B114A" w:rsidRDefault="009B114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Sales.sp_createSale</w:t>
            </w:r>
          </w:p>
        </w:tc>
        <w:tc>
          <w:tcPr>
            <w:tcW w:w="2127" w:type="dxa"/>
            <w:vAlign w:val="center"/>
          </w:tcPr>
          <w:p w14:paraId="24C98A6E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653C4296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@salesperson int,</w:t>
            </w:r>
          </w:p>
          <w:p w14:paraId="0A405429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@cityId int,</w:t>
            </w:r>
          </w:p>
          <w:p w14:paraId="2AFDAA14" w14:textId="7D7785D9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@billToCustomer int</w:t>
            </w:r>
            <w:r w:rsidR="007B3DBA">
              <w:rPr>
                <w:rFonts w:eastAsia="Times New Roman" w:cstheme="minorHAnsi"/>
                <w:lang w:val="en-US" w:eastAsia="pt-PT"/>
              </w:rPr>
              <w:t>,</w:t>
            </w:r>
          </w:p>
          <w:p w14:paraId="56E2C128" w14:textId="64D1AA90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@currency char(3) = ‘EUR’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8F0A6" w14:textId="53CC6748" w:rsidR="009B114A" w:rsidRPr="007B3DBA" w:rsidRDefault="007B3DBA" w:rsidP="0036544B">
            <w:pPr>
              <w:rPr>
                <w:iCs/>
              </w:rPr>
            </w:pPr>
            <w:r w:rsidRPr="007B3DBA">
              <w:rPr>
                <w:iCs/>
              </w:rPr>
              <w:t xml:space="preserve">Permite </w:t>
            </w:r>
            <w:r>
              <w:rPr>
                <w:iCs/>
              </w:rPr>
              <w:t>realizar</w:t>
            </w:r>
            <w:r w:rsidRPr="007B3DBA">
              <w:rPr>
                <w:iCs/>
              </w:rPr>
              <w:t xml:space="preserve"> uma nova v</w:t>
            </w:r>
            <w:r>
              <w:rPr>
                <w:iCs/>
              </w:rPr>
              <w:t>enda</w:t>
            </w:r>
          </w:p>
        </w:tc>
      </w:tr>
      <w:tr w:rsidR="007B3DBA" w:rsidRPr="007B3DBA" w14:paraId="67839B2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6085F" w14:textId="21D5EDC6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p_addProductToSale</w:t>
            </w:r>
          </w:p>
        </w:tc>
        <w:tc>
          <w:tcPr>
            <w:tcW w:w="2127" w:type="dxa"/>
            <w:vAlign w:val="center"/>
          </w:tcPr>
          <w:p w14:paraId="27641D80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@productId int, @saleId int,</w:t>
            </w:r>
          </w:p>
          <w:p w14:paraId="3BEBEA0C" w14:textId="097E8BEB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976A" w14:textId="754A38F0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adicionar um novo produto a com venda já existente</w:t>
            </w:r>
          </w:p>
        </w:tc>
      </w:tr>
      <w:tr w:rsidR="007B3DBA" w:rsidRPr="007B3DBA" w14:paraId="7A5508B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70CBB0" w14:textId="3B1DE1F3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p_removeProductFromSale</w:t>
            </w:r>
          </w:p>
        </w:tc>
        <w:tc>
          <w:tcPr>
            <w:tcW w:w="2127" w:type="dxa"/>
            <w:vAlign w:val="center"/>
          </w:tcPr>
          <w:p w14:paraId="63A684AE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@removeSale bit,</w:t>
            </w:r>
          </w:p>
          <w:p w14:paraId="173AFA32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4742DA35" w14:textId="173392BB" w:rsidR="007B3DBA" w:rsidRP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B9F0BA" w14:textId="00ABBAE2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remover um produto de uma venda, e caso o utilizador deseje</w:t>
            </w:r>
            <w:r w:rsidR="00A17C3F">
              <w:rPr>
                <w:iCs/>
              </w:rPr>
              <w:t>, permite ainda remover a venda se esta não contiver mais produtos</w:t>
            </w:r>
          </w:p>
        </w:tc>
      </w:tr>
      <w:tr w:rsidR="00A17C3F" w:rsidRPr="007B3DBA" w14:paraId="3ACF15D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66D4FD" w14:textId="7A01A319" w:rsidR="00A17C3F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Sales.sp_updateQuantity</w:t>
            </w:r>
          </w:p>
        </w:tc>
        <w:tc>
          <w:tcPr>
            <w:tcW w:w="2127" w:type="dxa"/>
            <w:vAlign w:val="center"/>
          </w:tcPr>
          <w:p w14:paraId="487E293E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3B8B7E95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int,</w:t>
            </w:r>
          </w:p>
          <w:p w14:paraId="5B05BEAE" w14:textId="4A2CF0A0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11213" w14:textId="493759F5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>Permite atualizar a quantidade de um produto numa determinada venda</w:t>
            </w:r>
          </w:p>
        </w:tc>
      </w:tr>
      <w:tr w:rsidR="00B71FCF" w:rsidRPr="007B3DBA" w14:paraId="66F3C93C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62AA6C" w14:textId="360D5385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Sales.sp_applyDiscount</w:t>
            </w:r>
          </w:p>
        </w:tc>
        <w:tc>
          <w:tcPr>
            <w:tcW w:w="2127" w:type="dxa"/>
            <w:vAlign w:val="center"/>
          </w:tcPr>
          <w:p w14:paraId="49751C56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 int,</w:t>
            </w:r>
          </w:p>
          <w:p w14:paraId="4F30D929" w14:textId="338CCB39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7D143" w14:textId="0DC868AD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aplica um desconto existente a um produto</w:t>
            </w:r>
          </w:p>
        </w:tc>
      </w:tr>
      <w:tr w:rsidR="00B71FCF" w:rsidRPr="007B3DBA" w14:paraId="30700BA0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9AD783" w14:textId="7684676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Sales.sp_deleteProductDiscount</w:t>
            </w:r>
          </w:p>
        </w:tc>
        <w:tc>
          <w:tcPr>
            <w:tcW w:w="2127" w:type="dxa"/>
            <w:vAlign w:val="center"/>
          </w:tcPr>
          <w:p w14:paraId="132CE618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1F4A64D4" w14:textId="20A55CC1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0AE140" w14:textId="60578ECE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um desconto a um produto</w:t>
            </w:r>
          </w:p>
        </w:tc>
      </w:tr>
      <w:tr w:rsidR="00B71FCF" w:rsidRPr="007B3DBA" w14:paraId="0ACC83B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5DBC78" w14:textId="4D1EA103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  <w:tc>
          <w:tcPr>
            <w:tcW w:w="2127" w:type="dxa"/>
            <w:vAlign w:val="center"/>
          </w:tcPr>
          <w:p w14:paraId="06EC89B3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584F5A12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@startDate date,</w:t>
            </w:r>
          </w:p>
          <w:p w14:paraId="3213ED95" w14:textId="3C22370D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@endDate date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8E4A7D" w14:textId="73D6CEB4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atualizar as datas de início e fim de uma promoção</w:t>
            </w:r>
          </w:p>
        </w:tc>
      </w:tr>
      <w:tr w:rsidR="00B71FCF" w:rsidRPr="007B3DBA" w14:paraId="7B371EA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FE054E" w14:textId="5E067D1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Sales.sp_deleteOldDiscounts</w:t>
            </w:r>
          </w:p>
        </w:tc>
        <w:tc>
          <w:tcPr>
            <w:tcW w:w="2127" w:type="dxa"/>
            <w:vAlign w:val="center"/>
          </w:tcPr>
          <w:p w14:paraId="6C1E4A77" w14:textId="6326E70F" w:rsidR="00B71FCF" w:rsidRPr="00B71FCF" w:rsidRDefault="00B71FCF" w:rsidP="00B71FCF">
            <w:pPr>
              <w:pStyle w:val="ListParagraph"/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1B9BDC" w14:textId="7B0CFE60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todos os descontos que já não estão ativos (data de termino passada)</w:t>
            </w:r>
          </w:p>
        </w:tc>
      </w:tr>
      <w:tr w:rsidR="00B71FCF" w:rsidRPr="007B3DBA" w14:paraId="0620A0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0BCB9E" w14:textId="7875C847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Authentication.sp_insertUser</w:t>
            </w:r>
          </w:p>
        </w:tc>
        <w:tc>
          <w:tcPr>
            <w:tcW w:w="2127" w:type="dxa"/>
            <w:vAlign w:val="center"/>
          </w:tcPr>
          <w:p w14:paraId="4138F574" w14:textId="420DCAA6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00EFB99C" w14:textId="77777777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588F573F" w14:textId="2130A54E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12E67A" w14:textId="3AB09447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inserir um novo utilizador. Faz isso,  e assim sendo, está dependente do gerador e do sp que este criar (sp_systemuser_insert)</w:t>
            </w:r>
          </w:p>
        </w:tc>
      </w:tr>
      <w:tr w:rsidR="00B71FCF" w:rsidRPr="007B3DBA" w14:paraId="719AAB5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E86F4A" w14:textId="619A432B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Authentication.sp_updateUser</w:t>
            </w:r>
          </w:p>
        </w:tc>
        <w:tc>
          <w:tcPr>
            <w:tcW w:w="2127" w:type="dxa"/>
            <w:vAlign w:val="center"/>
          </w:tcPr>
          <w:p w14:paraId="659DCBE7" w14:textId="77777777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38AB07EE" w14:textId="47489E2E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47E92E37" w14:textId="24EFC2CC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@oldPasswd varchar(32),</w:t>
            </w:r>
          </w:p>
          <w:p w14:paraId="640219C3" w14:textId="5A0ABAA5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r w:rsidR="00026426">
              <w:rPr>
                <w:rFonts w:eastAsia="Times New Roman" w:cstheme="minorHAnsi"/>
                <w:lang w:val="en-US" w:eastAsia="pt-PT"/>
              </w:rPr>
              <w:t>newP</w:t>
            </w:r>
            <w:r>
              <w:rPr>
                <w:rFonts w:eastAsia="Times New Roman" w:cstheme="minorHAnsi"/>
                <w:lang w:val="en-US" w:eastAsia="pt-PT"/>
              </w:rPr>
              <w:t>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A32A4D" w14:textId="74F798D6" w:rsidR="00B71FCF" w:rsidRPr="00B71FCF" w:rsidRDefault="00B71FCF" w:rsidP="0036544B">
            <w:pPr>
              <w:rPr>
                <w:iCs/>
                <w:lang w:val="en-US"/>
              </w:rPr>
            </w:pPr>
            <w:r>
              <w:rPr>
                <w:iCs/>
              </w:rPr>
              <w:t>Permite atualizar os dados de um utilizador.</w:t>
            </w:r>
          </w:p>
        </w:tc>
      </w:tr>
      <w:tr w:rsidR="00026426" w:rsidRPr="007B3DBA" w14:paraId="5F0B9FD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EB9697" w14:textId="28E439AF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  <w:tc>
          <w:tcPr>
            <w:tcW w:w="2127" w:type="dxa"/>
            <w:vAlign w:val="center"/>
          </w:tcPr>
          <w:p w14:paraId="192F4834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02FD0177" w14:textId="57451F8F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2DE735" w14:textId="46812ED4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autenticar um utilizador</w:t>
            </w:r>
          </w:p>
        </w:tc>
      </w:tr>
      <w:tr w:rsidR="00026426" w:rsidRPr="007B3DBA" w14:paraId="726A0C4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3299DF" w14:textId="2E647B37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Authentication.sp_recoverPasswd</w:t>
            </w:r>
          </w:p>
        </w:tc>
        <w:tc>
          <w:tcPr>
            <w:tcW w:w="2127" w:type="dxa"/>
            <w:vAlign w:val="center"/>
          </w:tcPr>
          <w:p w14:paraId="4545BEF4" w14:textId="595E32C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BB604C" w14:textId="53A731DD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iniciar o processo de recuperação de password, através do envio do access token</w:t>
            </w:r>
          </w:p>
        </w:tc>
      </w:tr>
      <w:tr w:rsidR="00026426" w:rsidRPr="007B3DBA" w14:paraId="5D95020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FEAC0B" w14:textId="344D163C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Authentication.sp_restorePasswd</w:t>
            </w:r>
          </w:p>
        </w:tc>
        <w:tc>
          <w:tcPr>
            <w:tcW w:w="2127" w:type="dxa"/>
            <w:vAlign w:val="center"/>
          </w:tcPr>
          <w:p w14:paraId="5BCE3A15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 @token varchar(255),</w:t>
            </w:r>
          </w:p>
          <w:p w14:paraId="691B2352" w14:textId="6827D5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@newPasswd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26EE69" w14:textId="2577FF77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restaurar a password inserindo o token de access enviado no início do processo de recuperação da password</w:t>
            </w:r>
          </w:p>
        </w:tc>
      </w:tr>
      <w:tr w:rsidR="00DF2DDA" w:rsidRPr="007B3DBA" w14:paraId="52105B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ADB940" w14:textId="70A50312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Dbo.sp_db_monitoring</w:t>
            </w:r>
          </w:p>
        </w:tc>
        <w:tc>
          <w:tcPr>
            <w:tcW w:w="2127" w:type="dxa"/>
            <w:vAlign w:val="center"/>
          </w:tcPr>
          <w:p w14:paraId="3BA8CA0E" w14:textId="18BEA7F9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5C5406" w14:textId="0FA1F466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ver todos os campos de todas as tabelas, com os seus tipos de dados, tamanho respetivo e restrições associadas</w:t>
            </w:r>
          </w:p>
        </w:tc>
      </w:tr>
      <w:tr w:rsidR="00DF2DDA" w:rsidRPr="007B3DBA" w14:paraId="5A4BD0F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4EB918" w14:textId="50457587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Dbo.sp_data_estimation</w:t>
            </w:r>
          </w:p>
        </w:tc>
        <w:tc>
          <w:tcPr>
            <w:tcW w:w="2127" w:type="dxa"/>
            <w:vAlign w:val="center"/>
          </w:tcPr>
          <w:p w14:paraId="061F9A00" w14:textId="718613A8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63A208" w14:textId="2A672D9D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obter o número de registos e estimativa do espaço ocupado para cada tabela da base de dados</w:t>
            </w:r>
          </w:p>
        </w:tc>
      </w:tr>
    </w:tbl>
    <w:p w14:paraId="6E0C24BD" w14:textId="77777777" w:rsidR="00A97BFD" w:rsidRPr="007B3DBA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r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20C8C71E" w:rsidR="0044675C" w:rsidRPr="007B3DBA" w:rsidRDefault="007B3DBA" w:rsidP="00895C14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Sales_tr_checkChillerStock</w:t>
            </w:r>
          </w:p>
        </w:tc>
        <w:tc>
          <w:tcPr>
            <w:tcW w:w="1559" w:type="dxa"/>
          </w:tcPr>
          <w:p w14:paraId="6B1C1970" w14:textId="784074D1" w:rsidR="0044675C" w:rsidRPr="007B3DBA" w:rsidRDefault="007B3DBA" w:rsidP="0044675C">
            <w:pPr>
              <w:jc w:val="center"/>
              <w:rPr>
                <w:iCs/>
              </w:rPr>
            </w:pPr>
            <w:r w:rsidRPr="007B3DBA"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3008D14E" w14:textId="64B5E250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6A53353C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 xml:space="preserve">Verifica se o novo produto adicionado à venda corresponde ao tipo produtos </w:t>
            </w:r>
            <w:r w:rsidRPr="007B3DBA">
              <w:rPr>
                <w:i/>
              </w:rPr>
              <w:t>Chiller/Dry</w:t>
            </w:r>
            <w:r>
              <w:rPr>
                <w:iCs/>
              </w:rPr>
              <w:t xml:space="preserve"> já existente na compra</w:t>
            </w:r>
          </w:p>
        </w:tc>
      </w:tr>
      <w:tr w:rsidR="0044675C" w:rsidRPr="00006789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8A3BDF3" w:rsidR="0044675C" w:rsidRPr="007B3DBA" w:rsidRDefault="00E02A64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  <w:tc>
          <w:tcPr>
            <w:tcW w:w="1559" w:type="dxa"/>
          </w:tcPr>
          <w:p w14:paraId="124F0A19" w14:textId="3CAECCFF" w:rsidR="0044675C" w:rsidRPr="007B3DBA" w:rsidRDefault="00E02A64" w:rsidP="0044675C">
            <w:pPr>
              <w:jc w:val="center"/>
              <w:rPr>
                <w:iCs/>
              </w:rPr>
            </w:pPr>
            <w:r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7D432F14" w14:textId="40077F27" w:rsidR="0044675C" w:rsidRPr="007B3DBA" w:rsidRDefault="00E02A64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298E874" w:rsidR="0044675C" w:rsidRPr="00313A18" w:rsidRDefault="00E02A64" w:rsidP="00895C14">
            <w:pPr>
              <w:rPr>
                <w:iCs/>
                <w:lang w:val="en-US"/>
              </w:rPr>
            </w:pPr>
            <w:r w:rsidRPr="00006789">
              <w:rPr>
                <w:iCs/>
              </w:rPr>
              <w:t>Este trigger verifica</w:t>
            </w:r>
            <w:r w:rsidR="00006789">
              <w:rPr>
                <w:iCs/>
              </w:rPr>
              <w:t xml:space="preserve"> </w:t>
            </w:r>
            <w:r w:rsidRPr="00006789">
              <w:rPr>
                <w:iCs/>
              </w:rPr>
              <w:t>se a</w:t>
            </w:r>
            <w:r w:rsidR="00006789" w:rsidRPr="00006789">
              <w:rPr>
                <w:iCs/>
              </w:rPr>
              <w:t xml:space="preserve"> shipment date</w:t>
            </w:r>
            <w:r w:rsidRPr="00006789">
              <w:rPr>
                <w:iCs/>
              </w:rPr>
              <w:t xml:space="preserve"> em Shipments.Transport</w:t>
            </w:r>
            <w:r w:rsidR="00006789" w:rsidRPr="00006789">
              <w:rPr>
                <w:iCs/>
              </w:rPr>
              <w:t xml:space="preserve"> corresponde à data de</w:t>
            </w:r>
            <w:r w:rsidR="00006789">
              <w:rPr>
                <w:iCs/>
              </w:rPr>
              <w:t xml:space="preserve"> entrega mais longa entre os produtos incluídos na venda</w:t>
            </w:r>
          </w:p>
        </w:tc>
      </w:tr>
      <w:tr w:rsidR="0044675C" w:rsidRPr="00006789" w14:paraId="4DF61CFD" w14:textId="77777777" w:rsidTr="007B3DBA">
        <w:trPr>
          <w:trHeight w:val="359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Pr="00006789" w:rsidRDefault="0044675C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4D277111" w14:textId="77777777" w:rsidR="0044675C" w:rsidRPr="00006789" w:rsidRDefault="0044675C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7D298645" w14:textId="77777777" w:rsidR="0044675C" w:rsidRPr="00006789" w:rsidRDefault="0044675C" w:rsidP="00895C14">
            <w:pPr>
              <w:rPr>
                <w:iCs/>
              </w:rPr>
            </w:pP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Pr="00006789" w:rsidRDefault="0044675C" w:rsidP="00895C14">
            <w:pPr>
              <w:rPr>
                <w:iCs/>
              </w:rPr>
            </w:pPr>
          </w:p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Number of Customers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agrupados por cada categoria</w:t>
      </w:r>
      <w:r w:rsidR="001D6114">
        <w:rPr>
          <w:i/>
        </w:rPr>
        <w:t xml:space="preserve"> (“category”)</w:t>
      </w:r>
      <w:r>
        <w:rPr>
          <w:i/>
        </w:rPr>
        <w:t xml:space="preserve"> existente entre a base de dados WWI_OldData e WWIGlobal</w:t>
      </w:r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.Customer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Category</w:t>
      </w:r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bc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CE33D03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(“employee”) entre a base de dados nova e antiga</w:t>
      </w:r>
    </w:p>
    <w:p w14:paraId="7AAA254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C65E87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</w:p>
    <w:p w14:paraId="1C931F6E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.Employee e </w:t>
      </w:r>
    </w:p>
    <w:p w14:paraId="5329737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[Employee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84042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445E148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</w:p>
    <w:p w14:paraId="17E05AB4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50473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66C33945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A7907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soh </w:t>
      </w:r>
    </w:p>
    <w:p w14:paraId="40236CE3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2A1510F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37A4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lastRenderedPageBreak/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2A215C9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</w:p>
    <w:p w14:paraId="44A87328" w14:textId="485EE7A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1AC2A75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cada produto (“stock item”)</w:t>
      </w:r>
    </w:p>
    <w:p w14:paraId="327BFE0E" w14:textId="77777777" w:rsidR="000A543A" w:rsidRPr="000A543A" w:rsidRDefault="000A543A" w:rsidP="000A543A">
      <w:pPr>
        <w:pStyle w:val="ListParagraph"/>
        <w:rPr>
          <w:i/>
        </w:rPr>
      </w:pPr>
    </w:p>
    <w:p w14:paraId="319331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76D1229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502A00D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66FBC5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3798DC8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7E4FE93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AB4126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93368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43D5B0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DA1B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5A6CFFC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229E2C9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29229EB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30307D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4F466EA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C0F6E3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5703BEE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02B2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7843E1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F3DA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BDD35A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5060A3C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2679090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0C5B25D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1FC643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1421F6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75FAF0A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6EF3A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12A5B45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7A04899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B1FDF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30DD0C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2B4533B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8DEC57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354AE82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15B842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8CDEDC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lastRenderedPageBreak/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6F2742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 </w:t>
      </w:r>
    </w:p>
    <w:p w14:paraId="5038DC0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05EB4F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3C51443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14B1E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08984CA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Pr="000A543A" w:rsidRDefault="00F226F6" w:rsidP="000A543A">
      <w:pPr>
        <w:rPr>
          <w:i/>
        </w:rPr>
      </w:pPr>
    </w:p>
    <w:p w14:paraId="3BDDA2A5" w14:textId="69EE42F0" w:rsid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0D3DDA70" w14:textId="77777777" w:rsidR="000A543A" w:rsidRPr="000A543A" w:rsidRDefault="000A543A" w:rsidP="000A543A">
      <w:pPr>
        <w:pStyle w:val="ListParagraph"/>
        <w:rPr>
          <w:i/>
        </w:rPr>
      </w:pPr>
    </w:p>
    <w:p w14:paraId="609F9F8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66B7408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1F33500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E915C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798A296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446416D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4ECCDA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3DF65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4C3992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7A94A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48E551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33624F0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D7EC84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63D685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37C5446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5DCE97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26F49AB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10DF88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6A77838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FCDA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4FD87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22316B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CE7DFE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46847D2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63C10B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FF301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885B3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2C31D51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EC9442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5A49443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47CBECD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7548F62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lastRenderedPageBreak/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0B18030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339A4E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578C91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7BC5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A9143E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1E6B6C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AFEE38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3F6BC0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3B8948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7B25F30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9E834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C34A7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48AD5ED" w14:textId="0502B133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5354B004" w:rsid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3449A596" w14:textId="77777777" w:rsidR="000A543A" w:rsidRPr="000A543A" w:rsidRDefault="000A543A" w:rsidP="000A543A">
      <w:pPr>
        <w:rPr>
          <w:i/>
        </w:rPr>
      </w:pPr>
    </w:p>
    <w:p w14:paraId="6B0A6BF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09DC489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 s</w:t>
      </w:r>
    </w:p>
    <w:p w14:paraId="62D946F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4484F6A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3BF66A7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75F00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</w:p>
    <w:p w14:paraId="12B204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25E666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0A8AAE7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553140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F33DE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63D9A70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FEAAF3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95160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</w:p>
    <w:p w14:paraId="21FF11B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.CityName cn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</w:p>
    <w:p w14:paraId="5156D81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0BABEE6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2F17605" w14:textId="0AB7B86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4D1BCA30" w14:textId="34FEA6A8" w:rsidR="000A07E3" w:rsidRPr="000A543A" w:rsidRDefault="000A07E3" w:rsidP="005723DF">
      <w:pPr>
        <w:pStyle w:val="ListParagraph"/>
        <w:ind w:left="1080"/>
        <w:rPr>
          <w:i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lastRenderedPageBreak/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r>
        <w:t>Views</w:t>
      </w:r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dbo.view_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view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72036E7E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Nc_invoiceId</w:t>
            </w:r>
          </w:p>
        </w:tc>
        <w:tc>
          <w:tcPr>
            <w:tcW w:w="2268" w:type="dxa"/>
          </w:tcPr>
          <w:p w14:paraId="3DBE1243" w14:textId="0769EEE9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WWI_Oldata.dbo.Sale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2314F44" w:rsidR="00402457" w:rsidRPr="0058732A" w:rsidRDefault="00402457" w:rsidP="002E5D15">
            <w:pPr>
              <w:rPr>
                <w:iCs/>
              </w:rPr>
            </w:pPr>
            <w:r w:rsidRPr="0058732A">
              <w:rPr>
                <w:iCs/>
              </w:rPr>
              <w:t>Foi optimizada a consulta das vendas por invoice id dureante migrações. Foi indexada a coluna WWI Invoice ID e incluídas as Customer Key, Stock Item Key, Quantity e unit price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2129033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Nc_citynameid_statecode_countryid</w:t>
            </w:r>
          </w:p>
        </w:tc>
        <w:tc>
          <w:tcPr>
            <w:tcW w:w="2268" w:type="dxa"/>
          </w:tcPr>
          <w:p w14:paraId="0C9B6936" w14:textId="6C39A7CB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Location.City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21437B4E" w:rsidR="000846C3" w:rsidRPr="00402457" w:rsidRDefault="0058732A" w:rsidP="002E5D15">
            <w:r>
              <w:t>Optimização da consulta identificação da cidade. Consultada frequentemente durante a importação de dados. Forem indexadas as colunas countryId, StateProvinceCode, CityNameId</w:t>
            </w:r>
          </w:p>
        </w:tc>
      </w:tr>
      <w:tr w:rsidR="009871FB" w14:paraId="46A710E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EBCBF3" w14:textId="77777777" w:rsidR="009871FB" w:rsidRPr="0058732A" w:rsidRDefault="009871FB" w:rsidP="002E5D15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</w:tcPr>
          <w:p w14:paraId="66FC0E5B" w14:textId="77777777" w:rsidR="009871FB" w:rsidRPr="0058732A" w:rsidRDefault="009871FB" w:rsidP="002E5D15">
            <w:pPr>
              <w:jc w:val="center"/>
              <w:rPr>
                <w:i/>
                <w:iCs/>
              </w:rPr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BF943E" w14:textId="77777777" w:rsidR="009871FB" w:rsidRDefault="009871FB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1B31E5D6" w14:textId="74E1AFAA" w:rsidR="00402457" w:rsidRDefault="00A6041A" w:rsidP="00402457">
      <w:pPr>
        <w:pStyle w:val="Heading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111CFDE7" w14:textId="77777777" w:rsidR="00402457" w:rsidRPr="00402457" w:rsidRDefault="00402457" w:rsidP="00402457"/>
    <w:p w14:paraId="1D5743F3" w14:textId="3565BDDF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r w:rsidR="00C07A5C" w:rsidRPr="00C07A5C">
        <w:rPr>
          <w:i/>
        </w:rPr>
        <w:t>Full Recovery Model</w:t>
      </w:r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com logs de transações ( </w:t>
      </w:r>
      <w:r w:rsidR="00D020E5" w:rsidRPr="009771BC">
        <w:rPr>
          <w:b/>
          <w:bCs/>
          <w:i/>
        </w:rPr>
        <w:t xml:space="preserve">Full Database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r w:rsidR="00C07A5C" w:rsidRPr="009771BC">
        <w:rPr>
          <w:b/>
          <w:bCs/>
          <w:i/>
        </w:rPr>
        <w:t>transaction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“tail”), de seguida recuperar o backup integral e recuperar, depois, os logs das transações feitos durante as 5 horas e meia e por fim recuperar o tail dos logs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t>Fazer backup do tail log, fazer restore do últmo full backup e restore do tail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t>Tendo em conta que tabelas como “Continent”, “Country”, “Sales Province” e “State Province”, são apenas alteradas em momentos de expansão de vendas para novos países ou cidades podemos concluir que são praticamente “read only”. Assim sendo,</w:t>
      </w:r>
      <w:r w:rsidR="001A42AF">
        <w:rPr>
          <w:iCs/>
        </w:rPr>
        <w:t xml:space="preserve"> já que estas tabelas foram agrupadas no mesmo filegroup, </w:t>
      </w:r>
      <w:r>
        <w:rPr>
          <w:iCs/>
        </w:rPr>
        <w:t xml:space="preserve">de modo a optimizar o plano de backups,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1FF973B" w14:textId="1896B96E" w:rsidR="00B6184C" w:rsidRPr="00A6041A" w:rsidRDefault="00B6184C" w:rsidP="00A6041A">
      <w:pPr>
        <w:ind w:left="360"/>
        <w:rPr>
          <w:i/>
          <w:color w:val="A6A6A6" w:themeColor="background1" w:themeShade="A6"/>
        </w:rPr>
      </w:pPr>
      <w:r>
        <w:t>Estes tipos de utilizadores refletem-se em diferentes roles. Assim, os roles criados foram: • Administrador, que tem acesso a toda a informação disponível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59BCA9FE" w14:textId="0B28F028" w:rsidR="00256B54" w:rsidRDefault="00B6184C" w:rsidP="00256B54">
      <w:pPr>
        <w:ind w:left="360"/>
      </w:pPr>
      <w:r>
        <w:t>De acordo com os requisitos do projeto foram estabelecidos 4 tipos de utilizadores</w:t>
      </w:r>
      <w:r w:rsidR="00256B54">
        <w:t xml:space="preserve"> e cada um destes corresponde a uma role de modo a conseguirem executar as tarefas necessárias às suas funções</w:t>
      </w:r>
    </w:p>
    <w:p w14:paraId="7BD3343C" w14:textId="589236D6" w:rsidR="00256B54" w:rsidRDefault="00B6184C" w:rsidP="00256B54">
      <w:pPr>
        <w:pStyle w:val="ListParagraph"/>
        <w:numPr>
          <w:ilvl w:val="0"/>
          <w:numId w:val="29"/>
        </w:numPr>
      </w:pPr>
      <w:r>
        <w:t>Administrador,</w:t>
      </w:r>
      <w:r w:rsidR="00256B54">
        <w:t xml:space="preserve"> com acesso a toda a informação </w:t>
      </w:r>
      <w:r>
        <w:t xml:space="preserve"> </w:t>
      </w:r>
      <w:r w:rsidR="00256B54">
        <w:t xml:space="preserve"> </w:t>
      </w:r>
    </w:p>
    <w:p w14:paraId="1D1F0AE7" w14:textId="006E11CD" w:rsidR="00256B54" w:rsidRDefault="00256B54" w:rsidP="00256B54">
      <w:pPr>
        <w:pStyle w:val="ListParagraph"/>
        <w:numPr>
          <w:ilvl w:val="0"/>
          <w:numId w:val="29"/>
        </w:numPr>
      </w:pPr>
      <w:r>
        <w:t>Vendedor, que tem acesso total às tabelas de acesso às vendas e acesso de consulta às restantes</w:t>
      </w:r>
    </w:p>
    <w:p w14:paraId="452C9EE6" w14:textId="77619A35" w:rsidR="00A6041A" w:rsidRDefault="00256B54" w:rsidP="00256B54">
      <w:pPr>
        <w:pStyle w:val="ListParagraph"/>
        <w:numPr>
          <w:ilvl w:val="0"/>
          <w:numId w:val="29"/>
        </w:numPr>
      </w:pPr>
      <w:r>
        <w:t>SalesTerritory, que pode consultar a informação relativa ao seu território</w:t>
      </w:r>
    </w:p>
    <w:p w14:paraId="35245FB4" w14:textId="12259811" w:rsidR="00256B54" w:rsidRPr="00A6041A" w:rsidRDefault="00256B54" w:rsidP="00256B54">
      <w:pPr>
        <w:pStyle w:val="ListParagraph"/>
        <w:numPr>
          <w:ilvl w:val="0"/>
          <w:numId w:val="29"/>
        </w:numPr>
      </w:pPr>
      <w:r>
        <w:t>LogisticUser, gere os transportes associados aos serviços de entrega</w:t>
      </w:r>
    </w:p>
    <w:p w14:paraId="236AF617" w14:textId="22BB0F21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5D491A02" w:rsidR="000846C3" w:rsidRDefault="00725DCF" w:rsidP="00725DCF">
      <w:pPr>
        <w:ind w:firstLine="360"/>
      </w:pPr>
      <w:r>
        <w:t>Foram encriptados os dados relacionados com os preços dos produtos na tabela dos produtos e a coluna “trackingNumber” relativa aos transportes. Para a encriptação foi utilizado algoritmo “triple_desc”.</w:t>
      </w:r>
    </w:p>
    <w:p w14:paraId="0DC53A92" w14:textId="525E658A" w:rsidR="00725DCF" w:rsidRPr="00A6394C" w:rsidRDefault="00725DCF" w:rsidP="00725DCF">
      <w:pPr>
        <w:ind w:firstLine="360"/>
      </w:pPr>
      <w:r>
        <w:t>Já em em relação às passwords e tokens de acesso, uma vez que não é necessário processá-los mas sim compará-los, foi utilizada a função hashing para que os dados também fiquem protegidos.</w:t>
      </w:r>
    </w:p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lastRenderedPageBreak/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5FF68C7A" w:rsidR="000846C3" w:rsidRDefault="001832E8" w:rsidP="000846C3">
      <w:r>
        <w:tab/>
        <w:t>Não foi implementado.</w:t>
      </w:r>
    </w:p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8374"/>
      </w:tblGrid>
      <w:tr w:rsidR="00B023D4" w14:paraId="224E9654" w14:textId="77777777" w:rsidTr="00313A18">
        <w:trPr>
          <w:trHeight w:val="283"/>
          <w:jc w:val="center"/>
        </w:trPr>
        <w:tc>
          <w:tcPr>
            <w:tcW w:w="1266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37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BE9D16F" w14:textId="38B7FF8A" w:rsidR="00B023D4" w:rsidRPr="00313A18" w:rsidRDefault="009871FB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RF01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3875FD24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Sales.sp_createSale</w:t>
            </w:r>
          </w:p>
        </w:tc>
      </w:tr>
      <w:tr w:rsidR="00B023D4" w:rsidRPr="00376739" w14:paraId="12A7511C" w14:textId="77777777" w:rsidTr="00313A18">
        <w:trPr>
          <w:trHeight w:val="437"/>
          <w:jc w:val="center"/>
        </w:trPr>
        <w:tc>
          <w:tcPr>
            <w:tcW w:w="1266" w:type="dxa"/>
            <w:vAlign w:val="center"/>
          </w:tcPr>
          <w:p w14:paraId="03E60D1D" w14:textId="6CF99E6C" w:rsidR="00B023D4" w:rsidRPr="00313A18" w:rsidRDefault="00B023D4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</w:t>
            </w:r>
            <w:r w:rsidR="00313A18" w:rsidRPr="00313A18">
              <w:rPr>
                <w:iCs/>
              </w:rPr>
              <w:t>02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174F7DC6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Sales.Sp_addProductToSale</w:t>
            </w:r>
          </w:p>
        </w:tc>
      </w:tr>
      <w:tr w:rsidR="00B023D4" w14:paraId="3118A46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7DF574B" w14:textId="58915126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RF03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41620312" w:rsidR="00B023D4" w:rsidRPr="009871FB" w:rsidRDefault="00313A18" w:rsidP="008611D9">
            <w:r>
              <w:t>Sales.Sp_updateQuantity</w:t>
            </w:r>
          </w:p>
        </w:tc>
      </w:tr>
      <w:tr w:rsidR="00B023D4" w:rsidRPr="00706561" w14:paraId="736594E1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1968F56B" w14:textId="72A9C3E4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RF04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034D5CB2" w:rsidR="00B023D4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Sales.vw_SaleProductDetails + Sales.v</w:t>
            </w:r>
            <w:r>
              <w:rPr>
                <w:iCs/>
                <w:lang w:val="en-US"/>
              </w:rPr>
              <w:t>w_SaleInvoice</w:t>
            </w:r>
          </w:p>
        </w:tc>
      </w:tr>
      <w:tr w:rsidR="00313A18" w:rsidRPr="004130AE" w14:paraId="7C90628D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B0D2BE7" w14:textId="41ADC11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RF05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59F172" w14:textId="72EEF090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</w:tr>
      <w:tr w:rsidR="00313A18" w:rsidRPr="004130AE" w14:paraId="7C7F8F80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261D2B5" w14:textId="4D36707D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</w:t>
            </w:r>
            <w:r w:rsidR="00706561">
              <w:rPr>
                <w:iCs/>
              </w:rPr>
              <w:t>F</w:t>
            </w:r>
            <w:r w:rsidRPr="00313A18">
              <w:rPr>
                <w:iCs/>
              </w:rPr>
              <w:t>06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DD43D2" w14:textId="1B34AAC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Sales.tr_checkChillerStock</w:t>
            </w:r>
          </w:p>
        </w:tc>
      </w:tr>
      <w:tr w:rsidR="00313A18" w:rsidRPr="004130AE" w14:paraId="40533589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982A8E6" w14:textId="3E0CAE5A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RF07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962D42" w14:textId="59E716C9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</w:tr>
      <w:tr w:rsidR="00313A18" w:rsidRPr="00CF414D" w14:paraId="7394F3F3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A0DE053" w14:textId="72E44785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RF08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38FEA" w14:textId="01FA3CE1" w:rsidR="00CF414D" w:rsidRPr="00CF414D" w:rsidRDefault="00CF414D" w:rsidP="00313A18">
            <w:pPr>
              <w:rPr>
                <w:iCs/>
              </w:rPr>
            </w:pPr>
            <w:r w:rsidRPr="00CF414D">
              <w:rPr>
                <w:iCs/>
              </w:rPr>
              <w:t xml:space="preserve">Authentication.sp_insertUser/Authentication.sp_updateUser, que </w:t>
            </w:r>
            <w:r>
              <w:rPr>
                <w:iCs/>
              </w:rPr>
              <w:t>fazem uso do sp gerador sp_generate_action para criar/editar o utilizador. Quanto à remoção é realizada diretamento no sp criado pelo gerador sp_systemuser_delete</w:t>
            </w:r>
          </w:p>
        </w:tc>
      </w:tr>
      <w:tr w:rsidR="00313A18" w:rsidRPr="00FE3428" w14:paraId="7FFC0DB5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28E5FDB2" w14:textId="19763CF9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RF09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4263D1" w14:textId="57675C27" w:rsidR="00313A18" w:rsidRPr="00FE3428" w:rsidRDefault="00FE3428" w:rsidP="00313A1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Authentication.sp_recoverPassword e Authentication.sp_restorePasswd</w:t>
            </w:r>
          </w:p>
        </w:tc>
      </w:tr>
      <w:tr w:rsidR="00313A18" w:rsidRPr="00706561" w14:paraId="5C8DA7B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7E12FEF4" w14:textId="4A0763D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RF10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CBDA97" w14:textId="36A06725" w:rsidR="00313A18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Sp_applyDiscount/Sales.sp_deleteProductDiscount</w:t>
            </w:r>
          </w:p>
        </w:tc>
      </w:tr>
      <w:tr w:rsidR="00313A18" w:rsidRPr="004130AE" w14:paraId="51F46BC2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EFC211C" w14:textId="411C2314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RF11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8F1A66" w14:textId="1516835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</w:tr>
      <w:tr w:rsidR="00313A18" w:rsidRPr="004130AE" w14:paraId="0E15448B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6FB95D64" w14:textId="15E1D170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40B2B9" w14:textId="23FE0003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Condição em Sales.sp_applyDiscount</w:t>
            </w: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“WWI_OldData”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“InitialRestore</w:t>
      </w:r>
      <w:r w:rsidR="008778F2">
        <w:rPr>
          <w:i/>
        </w:rPr>
        <w:t>”</w:t>
      </w:r>
      <w:r w:rsidR="008778F2">
        <w:rPr>
          <w:iCs/>
        </w:rPr>
        <w:t xml:space="preserve"> dois ficheiros sql (um para Linux ou para Windows) que realização o </w:t>
      </w:r>
      <w:r w:rsidR="008778F2" w:rsidRPr="008778F2">
        <w:rPr>
          <w:i/>
        </w:rPr>
        <w:t>restore</w:t>
      </w:r>
      <w:r w:rsidR="008778F2">
        <w:rPr>
          <w:iCs/>
        </w:rPr>
        <w:t>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stored procedure </w:t>
      </w:r>
      <w:r w:rsidRPr="00AB6677">
        <w:rPr>
          <w:b/>
          <w:bCs/>
          <w:i/>
        </w:rPr>
        <w:t>sp_import_states</w:t>
      </w:r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>O caminho pode ser alterado diretamente no stored procedure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r w:rsidRPr="00AB6677">
        <w:rPr>
          <w:i/>
        </w:rPr>
        <w:t>migration.sql</w:t>
      </w:r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 xml:space="preserve">Filegroups/filegroupsW.sql </w:t>
            </w:r>
            <w:r>
              <w:rPr>
                <w:i/>
                <w:lang w:val="en-US"/>
              </w:rPr>
              <w:t>ou</w:t>
            </w:r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r w:rsidRPr="00A71607">
              <w:rPr>
                <w:i/>
                <w:lang w:val="en-US"/>
              </w:rPr>
              <w:t>filegroupsLinux.sql</w:t>
            </w:r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ddl/createTables.sql</w:t>
            </w:r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Migration/migration.sql</w:t>
            </w:r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44774F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5B418466" w:rsidR="0044774F" w:rsidRDefault="0044774F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591CFB1B" w14:textId="7C719363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Migration/migration_check.sql</w:t>
            </w:r>
          </w:p>
        </w:tc>
        <w:tc>
          <w:tcPr>
            <w:tcW w:w="6237" w:type="dxa"/>
          </w:tcPr>
          <w:p w14:paraId="47DA17F2" w14:textId="38EF4B7B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errorHandling.sql</w:t>
            </w:r>
          </w:p>
        </w:tc>
        <w:tc>
          <w:tcPr>
            <w:tcW w:w="6237" w:type="dxa"/>
          </w:tcPr>
          <w:p w14:paraId="056C8327" w14:textId="2B43E6F5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Generator.sql</w:t>
            </w:r>
          </w:p>
        </w:tc>
        <w:tc>
          <w:tcPr>
            <w:tcW w:w="6237" w:type="dxa"/>
          </w:tcPr>
          <w:p w14:paraId="5E2C3E38" w14:textId="3A7D7046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Gerador de crud stored procedures</w:t>
            </w:r>
          </w:p>
        </w:tc>
      </w:tr>
      <w:tr w:rsidR="00937FD3" w:rsidRPr="00376739" w14:paraId="6CE4BF11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BAC47A" w14:textId="1E82ED0F" w:rsidR="00937FD3" w:rsidRDefault="00937FD3" w:rsidP="003E758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693" w:type="dxa"/>
          </w:tcPr>
          <w:p w14:paraId="791065F7" w14:textId="51C21F46" w:rsidR="00937FD3" w:rsidRDefault="00937FD3" w:rsidP="003E7584">
            <w:pPr>
              <w:rPr>
                <w:i/>
              </w:rPr>
            </w:pPr>
            <w:r>
              <w:rPr>
                <w:i/>
              </w:rPr>
              <w:t>Business_logic.sql</w:t>
            </w:r>
          </w:p>
        </w:tc>
        <w:tc>
          <w:tcPr>
            <w:tcW w:w="6237" w:type="dxa"/>
          </w:tcPr>
          <w:p w14:paraId="0524B948" w14:textId="0C9D70A9" w:rsidR="00937FD3" w:rsidRPr="00937FD3" w:rsidRDefault="00937FD3" w:rsidP="003E7584">
            <w:pPr>
              <w:rPr>
                <w:i/>
                <w:lang w:val="en-US"/>
              </w:rPr>
            </w:pPr>
            <w:r>
              <w:rPr>
                <w:i/>
              </w:rPr>
              <w:t xml:space="preserve">Processos de negócio </w:t>
            </w:r>
          </w:p>
        </w:tc>
      </w:tr>
      <w:tr w:rsidR="005D535B" w:rsidRPr="00376739" w14:paraId="3772F83D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BBA188" w14:textId="0ADC49D0" w:rsidR="005D535B" w:rsidRDefault="005D535B" w:rsidP="003E758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693" w:type="dxa"/>
          </w:tcPr>
          <w:p w14:paraId="4130A5D0" w14:textId="43EE90CF" w:rsidR="005D535B" w:rsidRDefault="005D535B" w:rsidP="003E7584">
            <w:pPr>
              <w:rPr>
                <w:i/>
              </w:rPr>
            </w:pPr>
            <w:r>
              <w:rPr>
                <w:i/>
              </w:rPr>
              <w:t>Encryption.sql</w:t>
            </w:r>
          </w:p>
        </w:tc>
        <w:tc>
          <w:tcPr>
            <w:tcW w:w="6237" w:type="dxa"/>
          </w:tcPr>
          <w:p w14:paraId="0255FA60" w14:textId="4B31ABA9" w:rsidR="005D535B" w:rsidRPr="00D82E1E" w:rsidRDefault="00F96670" w:rsidP="003E758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Encriptação das colunas mencionadas</w:t>
            </w:r>
          </w:p>
        </w:tc>
      </w:tr>
      <w:tr w:rsidR="005D535B" w:rsidRPr="00376739" w14:paraId="6EAE72C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4838CD7" w14:textId="40086DEE" w:rsidR="005D535B" w:rsidRDefault="005D535B" w:rsidP="003E758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693" w:type="dxa"/>
          </w:tcPr>
          <w:p w14:paraId="45BEBEBD" w14:textId="00A31153" w:rsidR="005D535B" w:rsidRDefault="005D535B" w:rsidP="003E7584">
            <w:pPr>
              <w:rPr>
                <w:i/>
              </w:rPr>
            </w:pPr>
            <w:r>
              <w:rPr>
                <w:i/>
              </w:rPr>
              <w:t>Access_level.sql</w:t>
            </w:r>
          </w:p>
        </w:tc>
        <w:tc>
          <w:tcPr>
            <w:tcW w:w="6237" w:type="dxa"/>
          </w:tcPr>
          <w:p w14:paraId="41A84010" w14:textId="1178AAC0" w:rsidR="005D535B" w:rsidRPr="00DF2DDA" w:rsidRDefault="00F96670" w:rsidP="003E7584">
            <w:pPr>
              <w:rPr>
                <w:i/>
                <w:lang w:val="en-US"/>
              </w:rPr>
            </w:pPr>
            <w:r>
              <w:rPr>
                <w:i/>
              </w:rPr>
              <w:t>Níveis de acesso</w:t>
            </w:r>
          </w:p>
        </w:tc>
      </w:tr>
    </w:tbl>
    <w:p w14:paraId="455264C5" w14:textId="77777777" w:rsidR="00402457" w:rsidRPr="0020621F" w:rsidRDefault="00402457" w:rsidP="00263860">
      <w:pPr>
        <w:rPr>
          <w:i/>
          <w:color w:val="A6A6A6" w:themeColor="background1" w:themeShade="A6"/>
          <w:lang w:val="en-US"/>
        </w:rPr>
      </w:pPr>
    </w:p>
    <w:p w14:paraId="697B6D1D" w14:textId="0151D488" w:rsidR="006D6FE7" w:rsidRP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81AE" w14:textId="77777777" w:rsidR="00F00A48" w:rsidRDefault="00F00A48" w:rsidP="00814C59">
      <w:pPr>
        <w:spacing w:after="0" w:line="240" w:lineRule="auto"/>
      </w:pPr>
      <w:r>
        <w:separator/>
      </w:r>
    </w:p>
  </w:endnote>
  <w:endnote w:type="continuationSeparator" w:id="0">
    <w:p w14:paraId="639AC92A" w14:textId="77777777" w:rsidR="00F00A48" w:rsidRDefault="00F00A4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C942" w14:textId="77777777" w:rsidR="00F00A48" w:rsidRDefault="00F00A48" w:rsidP="00814C59">
      <w:pPr>
        <w:spacing w:after="0" w:line="240" w:lineRule="auto"/>
      </w:pPr>
      <w:r>
        <w:separator/>
      </w:r>
    </w:p>
  </w:footnote>
  <w:footnote w:type="continuationSeparator" w:id="0">
    <w:p w14:paraId="43382656" w14:textId="77777777" w:rsidR="00F00A48" w:rsidRDefault="00F00A4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909C2"/>
    <w:multiLevelType w:val="hybridMultilevel"/>
    <w:tmpl w:val="DE9A7DE2"/>
    <w:lvl w:ilvl="0" w:tplc="50D2FF76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E85C36"/>
    <w:multiLevelType w:val="hybridMultilevel"/>
    <w:tmpl w:val="9D623344"/>
    <w:lvl w:ilvl="0" w:tplc="FE885D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98C2929"/>
    <w:multiLevelType w:val="hybridMultilevel"/>
    <w:tmpl w:val="995854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10"/>
  </w:num>
  <w:num w:numId="2" w16cid:durableId="982002674">
    <w:abstractNumId w:val="27"/>
  </w:num>
  <w:num w:numId="3" w16cid:durableId="635796560">
    <w:abstractNumId w:val="13"/>
  </w:num>
  <w:num w:numId="4" w16cid:durableId="86314750">
    <w:abstractNumId w:val="14"/>
  </w:num>
  <w:num w:numId="5" w16cid:durableId="1776175251">
    <w:abstractNumId w:val="17"/>
  </w:num>
  <w:num w:numId="6" w16cid:durableId="826287160">
    <w:abstractNumId w:val="28"/>
  </w:num>
  <w:num w:numId="7" w16cid:durableId="673073130">
    <w:abstractNumId w:val="18"/>
  </w:num>
  <w:num w:numId="8" w16cid:durableId="1935363234">
    <w:abstractNumId w:val="23"/>
  </w:num>
  <w:num w:numId="9" w16cid:durableId="1963730594">
    <w:abstractNumId w:val="12"/>
  </w:num>
  <w:num w:numId="10" w16cid:durableId="968172603">
    <w:abstractNumId w:val="26"/>
  </w:num>
  <w:num w:numId="11" w16cid:durableId="2021158688">
    <w:abstractNumId w:val="9"/>
  </w:num>
  <w:num w:numId="12" w16cid:durableId="509416841">
    <w:abstractNumId w:val="25"/>
  </w:num>
  <w:num w:numId="13" w16cid:durableId="641545948">
    <w:abstractNumId w:val="5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20"/>
  </w:num>
  <w:num w:numId="17" w16cid:durableId="2122336207">
    <w:abstractNumId w:val="16"/>
  </w:num>
  <w:num w:numId="18" w16cid:durableId="505172030">
    <w:abstractNumId w:val="2"/>
  </w:num>
  <w:num w:numId="19" w16cid:durableId="215049093">
    <w:abstractNumId w:val="11"/>
  </w:num>
  <w:num w:numId="20" w16cid:durableId="357586864">
    <w:abstractNumId w:val="15"/>
  </w:num>
  <w:num w:numId="21" w16cid:durableId="585460887">
    <w:abstractNumId w:val="6"/>
  </w:num>
  <w:num w:numId="22" w16cid:durableId="2004233261">
    <w:abstractNumId w:val="24"/>
  </w:num>
  <w:num w:numId="23" w16cid:durableId="1480657024">
    <w:abstractNumId w:val="19"/>
  </w:num>
  <w:num w:numId="24" w16cid:durableId="1979725025">
    <w:abstractNumId w:val="22"/>
  </w:num>
  <w:num w:numId="25" w16cid:durableId="1075665546">
    <w:abstractNumId w:val="8"/>
  </w:num>
  <w:num w:numId="26" w16cid:durableId="2107845898">
    <w:abstractNumId w:val="0"/>
  </w:num>
  <w:num w:numId="27" w16cid:durableId="1982884994">
    <w:abstractNumId w:val="7"/>
  </w:num>
  <w:num w:numId="28" w16cid:durableId="1875340953">
    <w:abstractNumId w:val="4"/>
  </w:num>
  <w:num w:numId="29" w16cid:durableId="19415270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789"/>
    <w:rsid w:val="00015087"/>
    <w:rsid w:val="0002551F"/>
    <w:rsid w:val="00026426"/>
    <w:rsid w:val="00062193"/>
    <w:rsid w:val="00063C23"/>
    <w:rsid w:val="00073A02"/>
    <w:rsid w:val="000777FB"/>
    <w:rsid w:val="000832B0"/>
    <w:rsid w:val="000846C3"/>
    <w:rsid w:val="00093054"/>
    <w:rsid w:val="000A0177"/>
    <w:rsid w:val="000A07E3"/>
    <w:rsid w:val="000A543A"/>
    <w:rsid w:val="000B116F"/>
    <w:rsid w:val="000C584D"/>
    <w:rsid w:val="000C646A"/>
    <w:rsid w:val="000D24C3"/>
    <w:rsid w:val="000E0B22"/>
    <w:rsid w:val="000E3337"/>
    <w:rsid w:val="000E61F6"/>
    <w:rsid w:val="001002F9"/>
    <w:rsid w:val="00101293"/>
    <w:rsid w:val="00101501"/>
    <w:rsid w:val="00112E53"/>
    <w:rsid w:val="00121A2D"/>
    <w:rsid w:val="00144F08"/>
    <w:rsid w:val="00145B4B"/>
    <w:rsid w:val="0014629D"/>
    <w:rsid w:val="001556B0"/>
    <w:rsid w:val="001832E8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7269"/>
    <w:rsid w:val="00242C81"/>
    <w:rsid w:val="002449D6"/>
    <w:rsid w:val="00256B54"/>
    <w:rsid w:val="00263860"/>
    <w:rsid w:val="00271208"/>
    <w:rsid w:val="00275C2A"/>
    <w:rsid w:val="00276C41"/>
    <w:rsid w:val="002807E8"/>
    <w:rsid w:val="002859CE"/>
    <w:rsid w:val="00285CC5"/>
    <w:rsid w:val="00295429"/>
    <w:rsid w:val="00295FBB"/>
    <w:rsid w:val="00296D40"/>
    <w:rsid w:val="00297AB3"/>
    <w:rsid w:val="002A065D"/>
    <w:rsid w:val="002D067B"/>
    <w:rsid w:val="002D386D"/>
    <w:rsid w:val="002E4D52"/>
    <w:rsid w:val="002F4F71"/>
    <w:rsid w:val="003109D1"/>
    <w:rsid w:val="00313A18"/>
    <w:rsid w:val="003144A6"/>
    <w:rsid w:val="00316593"/>
    <w:rsid w:val="00327DB9"/>
    <w:rsid w:val="0034035D"/>
    <w:rsid w:val="00357ACE"/>
    <w:rsid w:val="00364175"/>
    <w:rsid w:val="0036544B"/>
    <w:rsid w:val="003673B7"/>
    <w:rsid w:val="00376739"/>
    <w:rsid w:val="0038376E"/>
    <w:rsid w:val="00390BD7"/>
    <w:rsid w:val="003971CD"/>
    <w:rsid w:val="003B1E1C"/>
    <w:rsid w:val="003B7020"/>
    <w:rsid w:val="003C6138"/>
    <w:rsid w:val="003D0B58"/>
    <w:rsid w:val="003D1BED"/>
    <w:rsid w:val="003D34D2"/>
    <w:rsid w:val="003E50EB"/>
    <w:rsid w:val="003E7584"/>
    <w:rsid w:val="003F7E2E"/>
    <w:rsid w:val="004017F3"/>
    <w:rsid w:val="00402457"/>
    <w:rsid w:val="00402483"/>
    <w:rsid w:val="004130AE"/>
    <w:rsid w:val="004214F4"/>
    <w:rsid w:val="00432372"/>
    <w:rsid w:val="0044675C"/>
    <w:rsid w:val="00447020"/>
    <w:rsid w:val="0044774F"/>
    <w:rsid w:val="00450848"/>
    <w:rsid w:val="00453BA2"/>
    <w:rsid w:val="004561A0"/>
    <w:rsid w:val="00476598"/>
    <w:rsid w:val="004A61F9"/>
    <w:rsid w:val="004C6073"/>
    <w:rsid w:val="004E2CA2"/>
    <w:rsid w:val="004E67EC"/>
    <w:rsid w:val="004E7C09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723DF"/>
    <w:rsid w:val="0058732A"/>
    <w:rsid w:val="005877FC"/>
    <w:rsid w:val="00587FD6"/>
    <w:rsid w:val="005A1FD5"/>
    <w:rsid w:val="005D535B"/>
    <w:rsid w:val="005F4AD1"/>
    <w:rsid w:val="00602ADE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96"/>
    <w:rsid w:val="006D6FE7"/>
    <w:rsid w:val="006E44E4"/>
    <w:rsid w:val="006F2412"/>
    <w:rsid w:val="0070387F"/>
    <w:rsid w:val="00706479"/>
    <w:rsid w:val="00706561"/>
    <w:rsid w:val="00723727"/>
    <w:rsid w:val="00725DCF"/>
    <w:rsid w:val="00731B5E"/>
    <w:rsid w:val="007340ED"/>
    <w:rsid w:val="0074632C"/>
    <w:rsid w:val="00750717"/>
    <w:rsid w:val="00763937"/>
    <w:rsid w:val="007734F4"/>
    <w:rsid w:val="00785967"/>
    <w:rsid w:val="00793AF5"/>
    <w:rsid w:val="00795C22"/>
    <w:rsid w:val="007B3DBA"/>
    <w:rsid w:val="007C47C8"/>
    <w:rsid w:val="007C5B95"/>
    <w:rsid w:val="007D5C24"/>
    <w:rsid w:val="007E31C4"/>
    <w:rsid w:val="00807491"/>
    <w:rsid w:val="008108BD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73910"/>
    <w:rsid w:val="00874E13"/>
    <w:rsid w:val="0087675C"/>
    <w:rsid w:val="008778F2"/>
    <w:rsid w:val="00877E19"/>
    <w:rsid w:val="00890370"/>
    <w:rsid w:val="008947F3"/>
    <w:rsid w:val="008A4C9D"/>
    <w:rsid w:val="008B4FA4"/>
    <w:rsid w:val="008E6F84"/>
    <w:rsid w:val="008F2196"/>
    <w:rsid w:val="008F35EF"/>
    <w:rsid w:val="008F62EF"/>
    <w:rsid w:val="009009A8"/>
    <w:rsid w:val="00912463"/>
    <w:rsid w:val="00913D25"/>
    <w:rsid w:val="00914E5F"/>
    <w:rsid w:val="00930554"/>
    <w:rsid w:val="00931E6F"/>
    <w:rsid w:val="00931FB9"/>
    <w:rsid w:val="00937FD3"/>
    <w:rsid w:val="00954479"/>
    <w:rsid w:val="009771BC"/>
    <w:rsid w:val="00980111"/>
    <w:rsid w:val="0098032C"/>
    <w:rsid w:val="00985B47"/>
    <w:rsid w:val="009871FB"/>
    <w:rsid w:val="00990D8F"/>
    <w:rsid w:val="00990DE6"/>
    <w:rsid w:val="00994B0F"/>
    <w:rsid w:val="009A1255"/>
    <w:rsid w:val="009A243E"/>
    <w:rsid w:val="009A25D5"/>
    <w:rsid w:val="009B03F6"/>
    <w:rsid w:val="009B114A"/>
    <w:rsid w:val="009B43E3"/>
    <w:rsid w:val="009B7654"/>
    <w:rsid w:val="009F35C0"/>
    <w:rsid w:val="009F478D"/>
    <w:rsid w:val="009F7F1D"/>
    <w:rsid w:val="00A17C3F"/>
    <w:rsid w:val="00A215E5"/>
    <w:rsid w:val="00A2766C"/>
    <w:rsid w:val="00A405B7"/>
    <w:rsid w:val="00A4485B"/>
    <w:rsid w:val="00A47800"/>
    <w:rsid w:val="00A6041A"/>
    <w:rsid w:val="00A6394C"/>
    <w:rsid w:val="00A71607"/>
    <w:rsid w:val="00A71823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52A9F"/>
    <w:rsid w:val="00B52EA9"/>
    <w:rsid w:val="00B6184C"/>
    <w:rsid w:val="00B61F8D"/>
    <w:rsid w:val="00B635B3"/>
    <w:rsid w:val="00B71FCF"/>
    <w:rsid w:val="00B77D18"/>
    <w:rsid w:val="00B862F2"/>
    <w:rsid w:val="00B91CF8"/>
    <w:rsid w:val="00BA4442"/>
    <w:rsid w:val="00BA717C"/>
    <w:rsid w:val="00BB2868"/>
    <w:rsid w:val="00BC0C21"/>
    <w:rsid w:val="00BC3D69"/>
    <w:rsid w:val="00BD7CBC"/>
    <w:rsid w:val="00BE475C"/>
    <w:rsid w:val="00BE4CA8"/>
    <w:rsid w:val="00C07A5C"/>
    <w:rsid w:val="00C07EF7"/>
    <w:rsid w:val="00C1140B"/>
    <w:rsid w:val="00C12D04"/>
    <w:rsid w:val="00C21741"/>
    <w:rsid w:val="00C230C8"/>
    <w:rsid w:val="00C24D17"/>
    <w:rsid w:val="00C25254"/>
    <w:rsid w:val="00C258FC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CF414D"/>
    <w:rsid w:val="00D020E5"/>
    <w:rsid w:val="00D02433"/>
    <w:rsid w:val="00D13A8B"/>
    <w:rsid w:val="00D14D2C"/>
    <w:rsid w:val="00D27156"/>
    <w:rsid w:val="00D47B9F"/>
    <w:rsid w:val="00D52A03"/>
    <w:rsid w:val="00D82E1E"/>
    <w:rsid w:val="00D83C12"/>
    <w:rsid w:val="00D9125B"/>
    <w:rsid w:val="00DA5922"/>
    <w:rsid w:val="00DC3A3D"/>
    <w:rsid w:val="00DC5909"/>
    <w:rsid w:val="00DD7B31"/>
    <w:rsid w:val="00DE6832"/>
    <w:rsid w:val="00DE746D"/>
    <w:rsid w:val="00DF2DDA"/>
    <w:rsid w:val="00E02A64"/>
    <w:rsid w:val="00E04711"/>
    <w:rsid w:val="00E071BA"/>
    <w:rsid w:val="00E20E9C"/>
    <w:rsid w:val="00E24996"/>
    <w:rsid w:val="00E40EEB"/>
    <w:rsid w:val="00E62CC9"/>
    <w:rsid w:val="00E67F8B"/>
    <w:rsid w:val="00E80B76"/>
    <w:rsid w:val="00E80F45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00A48"/>
    <w:rsid w:val="00F07552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96670"/>
    <w:rsid w:val="00FA318A"/>
    <w:rsid w:val="00FA4D3A"/>
    <w:rsid w:val="00FB0CCC"/>
    <w:rsid w:val="00FB2AB7"/>
    <w:rsid w:val="00FB3BDC"/>
    <w:rsid w:val="00FD2BB0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3497</Words>
  <Characters>18889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6</cp:revision>
  <dcterms:created xsi:type="dcterms:W3CDTF">2023-02-23T15:39:00Z</dcterms:created>
  <dcterms:modified xsi:type="dcterms:W3CDTF">2023-02-23T18:16:00Z</dcterms:modified>
</cp:coreProperties>
</file>