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PROPOSTA ESCRITA - FETEPS</w:t>
      </w:r>
    </w:p>
    <w:p w:rsidR="00000000" w:rsidDel="00000000" w:rsidP="00000000" w:rsidRDefault="00000000" w:rsidRPr="00000000" w14:paraId="00000002">
      <w:pPr>
        <w:spacing w:after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GJW Projects</w:t>
      </w:r>
    </w:p>
    <w:p w:rsidR="00000000" w:rsidDel="00000000" w:rsidP="00000000" w:rsidRDefault="00000000" w:rsidRPr="00000000" w14:paraId="00000003">
      <w:pPr>
        <w:spacing w:after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Nome do produto</w:t>
      </w:r>
    </w:p>
    <w:p w:rsidR="00000000" w:rsidDel="00000000" w:rsidP="00000000" w:rsidRDefault="00000000" w:rsidRPr="00000000" w14:paraId="00000004">
      <w:pPr>
        <w:spacing w:after="200" w:lineRule="auto"/>
        <w:rPr/>
      </w:pPr>
      <w:r w:rsidDel="00000000" w:rsidR="00000000" w:rsidRPr="00000000">
        <w:rPr>
          <w:rtl w:val="0"/>
        </w:rPr>
        <w:t xml:space="preserve">Tgo’s Barbearia - Sistema Integrado de Agendamento Autônomo, E-Commerce e Gestão Empresarial Dinâmica.</w:t>
      </w:r>
    </w:p>
    <w:p w:rsidR="00000000" w:rsidDel="00000000" w:rsidP="00000000" w:rsidRDefault="00000000" w:rsidRPr="00000000" w14:paraId="00000005">
      <w:pPr>
        <w:spacing w:after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Descrição detalhada do produto</w:t>
      </w:r>
    </w:p>
    <w:p w:rsidR="00000000" w:rsidDel="00000000" w:rsidP="00000000" w:rsidRDefault="00000000" w:rsidRPr="00000000" w14:paraId="00000006">
      <w:pPr>
        <w:spacing w:after="200" w:lineRule="auto"/>
        <w:rPr>
          <w:i w:val="1"/>
          <w:iCs w:val="1"/>
        </w:rPr>
      </w:pPr>
      <w:r w:rsidDel="00000000" w:rsidR="00000000" w:rsidRPr="00000000">
        <w:rPr>
          <w:rtl w:val="0"/>
        </w:rPr>
        <w:t xml:space="preserve">O produto é uma plataforma web completa desenvolvida sob medida para a Tgo’s Barbearia com o objetivo de digitalizar, automatizar e integrar os pilares operacionais do negócio: atendimento ao cliente, agendamento de serviços, venda de produtos e gestão administrativa. Pelo ambiente do cliente, o usuário pode consultar serviços, preços e profissionais, visualizar a grade de horários disponíveis em tempo real, realizar agendamentos de forma autônoma, remarcar ou cancelar reservas e receber confirmações instantâneas. No backoffice administrativo, o sistema contempla catálogo de produtos cosméticos masculinos com controle de estoque integrado, gerenciamento de comandas para atendimentos presenciais, fluxo financeiro, notificações e painel com controle de acesso baseado em perfis (RBAC). O motor de agendamento trabalha com slots modulares de 20 minutos e valida a disponibilidade de janelas contínuas para serviços de 40 ou 60 minutos, garantindo transações atômicas e prevenindo matematicamente qualquer conflito de horários (</w:t>
      </w:r>
      <w:r w:rsidDel="00000000" w:rsidR="00000000" w:rsidRPr="00000000">
        <w:rPr>
          <w:i w:val="1"/>
          <w:iCs w:val="1"/>
          <w:rtl w:val="0"/>
        </w:rPr>
        <w:t xml:space="preserve">double-booking</w:t>
      </w:r>
      <w:r w:rsidDel="00000000" w:rsidR="00000000" w:rsidRPr="00000000">
        <w:rPr>
          <w:rtl w:val="0"/>
        </w:rPr>
        <w:t xml:space="preserve">). A solução foi desenvolvida com Java 21 LTS, Spring Boot 3.2.5, Thymeleaf, JavaScript, CSS Vanilla e MySQL, assegurando alta performance, código modular desacoplado e sólida segurança.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Justificativa empreendedora do produto (diferencial)</w:t>
      </w:r>
    </w:p>
    <w:p w:rsidR="00000000" w:rsidDel="00000000" w:rsidP="00000000" w:rsidRDefault="00000000" w:rsidRPr="00000000" w14:paraId="00000008">
      <w:pPr>
        <w:spacing w:after="200" w:lineRule="auto"/>
        <w:rPr/>
      </w:pPr>
      <w:r w:rsidDel="00000000" w:rsidR="00000000" w:rsidRPr="00000000">
        <w:rPr>
          <w:rtl w:val="0"/>
        </w:rPr>
        <w:t xml:space="preserve">O projeto surgiu da identificação de gargalos reais enfrentados por barbearias que operam por anotações manuais e atendimento via mensagens de texto: respostas tardias, perda de novos clientes por espera, no-shows (faltas), colisões acidentais de horários e falta de controle sobre estoque e receitas. A plataforma GJW resolve essas dores centralizando a operação em um ambiente digital intuitivo e autônomo.</w:t>
      </w:r>
    </w:p>
    <w:p w:rsidR="00000000" w:rsidDel="00000000" w:rsidP="00000000" w:rsidRDefault="00000000" w:rsidRPr="00000000" w14:paraId="00000009">
      <w:pPr>
        <w:spacing w:after="200" w:lineRule="auto"/>
        <w:rPr/>
      </w:pPr>
      <w:r w:rsidDel="00000000" w:rsidR="00000000" w:rsidRPr="00000000">
        <w:rPr>
          <w:rtl w:val="0"/>
        </w:rPr>
        <w:t xml:space="preserve">Frente às alternativas existentes no mercado, o produto se destaca por três diferenciais estratégicos decisivos: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Identidade Própria e Fidelização (White-Label):</w:t>
      </w:r>
      <w:r w:rsidDel="00000000" w:rsidR="00000000" w:rsidRPr="00000000">
        <w:rPr>
          <w:rtl w:val="0"/>
        </w:rPr>
        <w:t xml:space="preserve"> Ao contrário de aplicativos de mercado que inserem a barbearia em marketplaces genéricos (onde o cliente é exposto a concorrentes diretos), a plataforma preserva e fortalece exclusivamente a marca da Tgo’s Barbearia.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Previsibilidade Financeira e Custo Zero por Agendamento:</w:t>
      </w:r>
      <w:r w:rsidDel="00000000" w:rsidR="00000000" w:rsidRPr="00000000">
        <w:rPr>
          <w:rtl w:val="0"/>
        </w:rPr>
        <w:t xml:space="preserve"> Não há cobrança de taxas percentuais sobre os serviços realizados nem mensalidades abusivas por funcionário adicional, viabilizando a transformação digital para microempreendedores (MEIs).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20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Ecossistema Unificado All-in-One:</w:t>
      </w:r>
      <w:r w:rsidDel="00000000" w:rsidR="00000000" w:rsidRPr="00000000">
        <w:rPr>
          <w:rtl w:val="0"/>
        </w:rPr>
        <w:t xml:space="preserve"> Integração nativa entre agenda, frente de atendimento (comandas), e-commerce e controle de inventário em uma única base de dados relacional, eliminando planilhas paralelas. Além disso, a solução possui como diferencial de inovação futura a integração de um simulador de corte e visagismo baseado em Inteligência Artificial.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Apresentação da produção</w:t>
      </w:r>
    </w:p>
    <w:p w:rsidR="00000000" w:rsidDel="00000000" w:rsidP="00000000" w:rsidRDefault="00000000" w:rsidRPr="00000000" w14:paraId="0000000F">
      <w:pPr>
        <w:spacing w:after="200" w:lineRule="auto"/>
        <w:rPr>
          <w:i w:val="1"/>
          <w:iCs w:val="1"/>
        </w:rPr>
      </w:pPr>
      <w:r w:rsidDel="00000000" w:rsidR="00000000" w:rsidRPr="00000000">
        <w:rPr>
          <w:rtl w:val="0"/>
        </w:rPr>
        <w:t xml:space="preserve">A solução foi concebida e desenvolvida pela equipe GJW Projects, composta pelos desenvolvedores Gabriel Calidonio André, Josias da Conceição Sobrinho e Wallace Francis Miranda. O projeto foi executado sob metodologia ágil Scrum ao longo de cinco Sprints bem definidas, englobando o levantamento de requisitos com o cliente real, modelagem de dados EER, arquitetura de software, prototipagem UX/UI, engenharia do back-end, blindagem de segurança e validação por testes. A solidez da produção técnica é evidenciada pela arquitetura em camadas orientada a padrões GoF e PoEAA (</w:t>
      </w:r>
      <w:r w:rsidDel="00000000" w:rsidR="00000000" w:rsidRPr="00000000">
        <w:rPr>
          <w:i w:val="1"/>
          <w:iCs w:val="1"/>
          <w:rtl w:val="0"/>
        </w:rPr>
        <w:t xml:space="preserve">DataMapper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Unit of Work</w:t>
      </w:r>
      <w:r w:rsidDel="00000000" w:rsidR="00000000" w:rsidRPr="00000000">
        <w:rPr>
          <w:rtl w:val="0"/>
        </w:rPr>
        <w:t xml:space="preserve"> com controle transacional ACID e </w:t>
      </w:r>
      <w:r w:rsidDel="00000000" w:rsidR="00000000" w:rsidRPr="00000000">
        <w:rPr>
          <w:i w:val="1"/>
          <w:iCs w:val="1"/>
          <w:rtl w:val="0"/>
        </w:rPr>
        <w:t xml:space="preserve">QueryBuilder</w:t>
      </w:r>
      <w:r w:rsidDel="00000000" w:rsidR="00000000" w:rsidRPr="00000000">
        <w:rPr>
          <w:rtl w:val="0"/>
        </w:rPr>
        <w:t xml:space="preserve"> dinâmico), controle de acessos RBAC, proteção contra injeções de código (PreparedStatement), mecanismo de defesa ativa (</w:t>
      </w:r>
      <w:r w:rsidDel="00000000" w:rsidR="00000000" w:rsidRPr="00000000">
        <w:rPr>
          <w:i w:val="1"/>
          <w:iCs w:val="1"/>
          <w:rtl w:val="0"/>
        </w:rPr>
        <w:t xml:space="preserve">Honeypot</w:t>
      </w:r>
      <w:r w:rsidDel="00000000" w:rsidR="00000000" w:rsidRPr="00000000">
        <w:rPr>
          <w:rtl w:val="0"/>
        </w:rPr>
        <w:t xml:space="preserve">) e validação por suíte de testes unitários automatizados com JUnit 5, que atesta 100% de consistência nos cenários de concorrência e reserva de horários.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Estratégia de precificação</w:t>
      </w:r>
    </w:p>
    <w:p w:rsidR="00000000" w:rsidDel="00000000" w:rsidP="00000000" w:rsidRDefault="00000000" w:rsidRPr="00000000" w14:paraId="00000011">
      <w:pPr>
        <w:spacing w:after="200" w:lineRule="auto"/>
        <w:rPr/>
      </w:pPr>
      <w:r w:rsidDel="00000000" w:rsidR="00000000" w:rsidRPr="00000000">
        <w:rPr>
          <w:rtl w:val="0"/>
        </w:rPr>
        <w:t xml:space="preserve">A estratégia comercial foi concebida para atender à realidade de pequenos negócios, aliando viabilidade de implantação a um custo operacional extremamente reduzido. O modelo pode operar via taxa única de implantação e customização (cobrada pelas horas técnicas de setup e treinamento) associada a um plano de manutenção e suporte preventivo, ou através de modelo SaaS com mensalidade acessível. O estudo de viabilidade técnica e infraestrutura comprovou que a aplicação pode ser hospedada em servidores VPS com excelente estabilidade a partir de R$ 35,00 a R$ 50,00 mensais, conferindo custos fixos totalmente previsíveis e proporcionando rápido retorno sobre o investimento (ROI) para a barbearia.</w:t>
      </w:r>
    </w:p>
    <w:p w:rsidR="00000000" w:rsidDel="00000000" w:rsidP="00000000" w:rsidRDefault="00000000" w:rsidRPr="00000000" w14:paraId="00000012">
      <w:pPr>
        <w:spacing w:after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Estratégias de apresentação do produto para venda na FETEPS</w:t>
      </w:r>
    </w:p>
    <w:p w:rsidR="00000000" w:rsidDel="00000000" w:rsidP="00000000" w:rsidRDefault="00000000" w:rsidRPr="00000000" w14:paraId="00000013">
      <w:pPr>
        <w:spacing w:after="200" w:lineRule="auto"/>
        <w:rPr/>
      </w:pPr>
      <w:r w:rsidDel="00000000" w:rsidR="00000000" w:rsidRPr="00000000">
        <w:rPr>
          <w:rtl w:val="0"/>
        </w:rPr>
        <w:t xml:space="preserve">O estande na FETEPS será estruturado em torno de uma demonstração dinâmica, interativa e simultânea em dois ambientes: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Ponto de Vista do Cliente (Totem/Tablet ou Smartphone):</w:t>
      </w:r>
      <w:r w:rsidDel="00000000" w:rsidR="00000000" w:rsidRPr="00000000">
        <w:rPr>
          <w:rtl w:val="0"/>
        </w:rPr>
        <w:t xml:space="preserve"> O visitante da feira é convidado a navegar na Landing Page, escolher um serviço, selecionar barbeiro e horário em tempo real e concluir sua reserva pelo fluxo de checkout simplificado.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Ponto de Vista do Gestor (Notebook do Estande):</w:t>
      </w:r>
      <w:r w:rsidDel="00000000" w:rsidR="00000000" w:rsidRPr="00000000">
        <w:rPr>
          <w:rtl w:val="0"/>
        </w:rPr>
        <w:t xml:space="preserve"> O visitante visualiza imediatamente a atualização instantânea da comanda e da agenda no painel administrativo, comprovando o funcionamento do motor de prevenção de colisões de horário e a baixa latência do sistema. Materiais visuais de apoio (banners explicativos, pranchas gráficas com a arquitetura do sistema e cartões com QR Code para acesso direto ao protótipo) permitirão que avaliadores e investidores compreendam rapidamente a dor, a solução e a viabilidade do negócio. Para reforçar a atratividade tecnológica, será apresentada a proposta conceitual da simulação de cortes por 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Capacidade de produção</w:t>
      </w:r>
    </w:p>
    <w:p w:rsidR="00000000" w:rsidDel="00000000" w:rsidP="00000000" w:rsidRDefault="00000000" w:rsidRPr="00000000" w14:paraId="00000018">
      <w:pPr>
        <w:spacing w:after="200" w:lineRule="auto"/>
        <w:rPr>
          <w:i w:val="1"/>
          <w:iCs w:val="1"/>
        </w:rPr>
      </w:pPr>
      <w:r w:rsidDel="00000000" w:rsidR="00000000" w:rsidRPr="00000000">
        <w:rPr>
          <w:rtl w:val="0"/>
        </w:rPr>
        <w:t xml:space="preserve">Por se tratar de um ativo de software modular e baseado em padrões arquiteturais dinâmicos, o sistema possui alta capacidade de replicação e escalabilidade. Uma nova instância do sistema pode ser implantada, parametrizada e colocada em produção em poucas horas, sem necessidade de retrabalho na base estrutural do código. A separação clara entre a camada de persistência (</w:t>
      </w:r>
      <w:r w:rsidDel="00000000" w:rsidR="00000000" w:rsidRPr="00000000">
        <w:rPr>
          <w:i w:val="1"/>
          <w:iCs w:val="1"/>
          <w:rtl w:val="0"/>
        </w:rPr>
        <w:t xml:space="preserve">DataMapper</w:t>
      </w:r>
      <w:r w:rsidDel="00000000" w:rsidR="00000000" w:rsidRPr="00000000">
        <w:rPr>
          <w:rtl w:val="0"/>
        </w:rPr>
        <w:t xml:space="preserve">), serviços genéricos e regras de negócio permite que a solução se adapte não apenas a novas filiais da Tgo’s Barbearia, mas também seja expandida para outros estabelecimentos do setor de estética e bem-estar. A equipe dispõe de documentação técnica completa (diagramas UML, modelo EER, matriz RBAC e catálogo de rotas), o que assegura manutenibilidade contínua e facilidade de evolução.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Fotos do protótipo do produto</w:t>
      </w:r>
    </w:p>
    <w:p w:rsidR="00000000" w:rsidDel="00000000" w:rsidP="00000000" w:rsidRDefault="00000000" w:rsidRPr="00000000" w14:paraId="0000001A">
      <w:pPr>
        <w:spacing w:after="20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O projeto dispõe de prototipação completa e interfaces operacionais para todos os fluxos críticos de uso: Landing Page responsiva, catálogo de serviços e profissionais, seletor de horários em tempo real, fluxo de identificação e checkout, tela de confirmação de agendamento, catálogo de produtos para venda e o painel administrativo integrado com login seguro. O protótipo navegável de validação funcional e de experiência do usuário (UX/UI) pode ser acessado em: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https://tgos-barbearia.lovestoblog.com/templates/home.php</w:t>
        </w:r>
      </w:hyperlink>
      <w:r w:rsidDel="00000000" w:rsidR="00000000" w:rsidRPr="00000000">
        <w:rPr>
          <w:rtl w:val="0"/>
        </w:rPr>
        <w:t xml:space="preserve">, servindo como referência de validação de mercado para a arquitetura definitiva consolidada no back-end de alta performance em Java 21 / Spring Boot 3.2.5. Na FETEPS, essas interfaces serão demonstradas em dispositivos móveis, computadores e apresentadas em materiais visuais de alta definição.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Sustentabilidade</w:t>
      </w:r>
    </w:p>
    <w:p w:rsidR="00000000" w:rsidDel="00000000" w:rsidP="00000000" w:rsidRDefault="00000000" w:rsidRPr="00000000" w14:paraId="0000001C">
      <w:pPr>
        <w:spacing w:after="20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O projeto está formalmente alinhado aos </w:t>
      </w:r>
      <w:r w:rsidDel="00000000" w:rsidR="00000000" w:rsidRPr="00000000">
        <w:rPr>
          <w:b w:val="1"/>
          <w:bCs w:val="1"/>
          <w:rtl w:val="0"/>
        </w:rPr>
        <w:t xml:space="preserve">Objetivos de Desenvolvimento Sustentável (ODS) da Organização das Nações Unidas (ONU)</w:t>
      </w:r>
      <w:r w:rsidDel="00000000" w:rsidR="00000000" w:rsidRPr="00000000">
        <w:rPr>
          <w:rtl w:val="0"/>
        </w:rPr>
        <w:t xml:space="preserve">, gerando impactos positivos em três dimensões principais: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ODS 12 – Consumo e Produção Responsáveis:</w:t>
      </w:r>
      <w:r w:rsidDel="00000000" w:rsidR="00000000" w:rsidRPr="00000000">
        <w:rPr>
          <w:rtl w:val="0"/>
        </w:rPr>
        <w:t xml:space="preserve"> Promove a transição para uma operação </w:t>
      </w:r>
      <w:r w:rsidDel="00000000" w:rsidR="00000000" w:rsidRPr="00000000">
        <w:rPr>
          <w:i w:val="1"/>
          <w:iCs w:val="1"/>
          <w:rtl w:val="0"/>
        </w:rPr>
        <w:t xml:space="preserve">Paperless</w:t>
      </w:r>
      <w:r w:rsidDel="00000000" w:rsidR="00000000" w:rsidRPr="00000000">
        <w:rPr>
          <w:rtl w:val="0"/>
        </w:rPr>
        <w:t xml:space="preserve"> (zero papel), substituindo fichas físicas de clientes, cadernos de agendamento, recibos e comandas manuais por registros em banco de dados relacional e notificações digitais, gerando redução no desperdício de insumos materiais.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ODS 8 – Trabalho Decente e Crescimento Econômico:</w:t>
      </w:r>
      <w:r w:rsidDel="00000000" w:rsidR="00000000" w:rsidRPr="00000000">
        <w:rPr>
          <w:rtl w:val="0"/>
        </w:rPr>
        <w:t xml:space="preserve"> Impulsiona a formalização, a previsibilidade de receita e a produtividade de profissionais autônomos e pequenos empreendedores (MEIs), reduzindo o tempo improdutivo gasto em triagem de mensagens e permitindo maior foco na execução dos serviços e na geração de renda.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20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ODS 9 – Indústria, Inovação e Infraestrutura:</w:t>
      </w:r>
      <w:r w:rsidDel="00000000" w:rsidR="00000000" w:rsidRPr="00000000">
        <w:rPr>
          <w:rtl w:val="0"/>
        </w:rPr>
        <w:t xml:space="preserve"> Democratiza o acesso de microempresas de bairro a tecnologias corporativas robustas de ponta (Java 21, Spring Boot, arquitetura de microsserviços e computação em nuvem com baixo consumo de recursos de servidor), promovendo a inclusão digital do setor de serviços locais.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Recursos financeiros</w:t>
      </w:r>
    </w:p>
    <w:p w:rsidR="00000000" w:rsidDel="00000000" w:rsidP="00000000" w:rsidRDefault="00000000" w:rsidRPr="00000000" w14:paraId="00000021">
      <w:pPr>
        <w:spacing w:after="200" w:lineRule="auto"/>
        <w:rPr>
          <w:i w:val="1"/>
          <w:iCs w:val="1"/>
        </w:rPr>
      </w:pPr>
      <w:r w:rsidDel="00000000" w:rsidR="00000000" w:rsidRPr="00000000">
        <w:rPr>
          <w:rtl w:val="0"/>
        </w:rPr>
        <w:t xml:space="preserve">O desenvolvimento inicial foi executado com investimento financeiro direto zero durante a fase acadêmica, valendo-se da competência técnica dos membros da GJW Projects e de ferramentas modernas </w:t>
      </w:r>
      <w:r w:rsidDel="00000000" w:rsidR="00000000" w:rsidRPr="00000000">
        <w:rPr>
          <w:i w:val="1"/>
          <w:iCs w:val="1"/>
          <w:rtl w:val="0"/>
        </w:rPr>
        <w:t xml:space="preserve">open-source</w:t>
      </w:r>
      <w:r w:rsidDel="00000000" w:rsidR="00000000" w:rsidRPr="00000000">
        <w:rPr>
          <w:rtl w:val="0"/>
        </w:rPr>
        <w:t xml:space="preserve"> (Java, Spring Framework, MySQL, Git e JUnit). Para a etapa de lançamento comercial em ambiente de produção contínua, os custos financeiros necessários resumem-se à contratação de domínio anual (cerca de R$ 40,00/ano) e infraestrutura de hospedagem VPS (na faixa de R$ 35,00 a R$ 50,00 mensais), totalizando um investimento inicial inferior a R$ 100,00 para início imediato das operações. Esse baixíssimo custo de entrada comprova a viabilidade financeira irrestrita da solução para pequenos negócios, gerando sustentabilidade econômica e fluxo de caixa positivo logo no primeiro mês de adoção.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tgos-barbearia.lovestoblog.com/templates/home.ph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