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color w:val="000000" w:themeColor="text1"/>
        </w:rPr>
      </w:pPr>
      <w:r>
        <w:rPr>
          <w:b/>
          <w:color w:val="000000" w:themeColor="text1"/>
          <w:lang w:val="pt-BR"/>
        </w:rPr>
        <w:t xml:space="preserve">Universidade de São Paulo</w:t>
        <w:br/>
        <w:t xml:space="preserve">Instituto de </w:t>
      </w:r>
      <w:r>
        <w:rPr>
          <w:b/>
          <w:color w:val="000000" w:themeColor="text1"/>
          <w:lang w:val="pt-BR"/>
        </w:rPr>
        <w:t xml:space="preserve">Geociências</w:t>
      </w:r>
      <w:r>
        <w:rPr>
          <w:color w:val="000000" w:themeColor="text1"/>
          <w:lang w:val="pt-BR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 w:bidi="pt-BR"/>
        </w:rPr>
      </w:r>
      <w:r>
        <w:rPr>
          <w:color w:val="000000" w:themeColor="text1"/>
          <w:lang w:val="pt-BR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/>
        </w:rPr>
        <w:t xml:space="preserve">Projeto de Iniciação Científica (PIBIC/CNPq)</w:t>
      </w:r>
      <w:r>
        <w:rPr>
          <w:color w:val="000000" w:themeColor="text1"/>
          <w:lang w:val="pt-BR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 w:bidi="pt-BR"/>
        </w:rPr>
      </w:r>
      <w:r>
        <w:rPr>
          <w:color w:val="000000" w:themeColor="text1"/>
          <w:lang w:val="pt-BR"/>
        </w:rPr>
      </w:r>
    </w:p>
    <w:p>
      <w:pPr>
        <w:pStyle w:val="709"/>
        <w:pBdr/>
        <w:spacing/>
        <w:ind/>
        <w:rPr>
          <w:color w:val="000000" w:themeColor="text1"/>
        </w:rPr>
      </w:pPr>
      <w:r>
        <w:rPr>
          <w:b/>
          <w:color w:val="000000" w:themeColor="text1"/>
          <w:sz w:val="28"/>
          <w:lang w:val="pt-BR"/>
        </w:rPr>
        <w:t xml:space="preserve">Inteligência Artificial na Exploração Mineral para Grafita:</w:t>
        <w:br/>
        <w:t xml:space="preserve">objetivos, métodos e resultados parciais</w:t>
      </w:r>
      <w:r>
        <w:rPr>
          <w:color w:val="000000" w:themeColor="text1"/>
          <w:lang w:val="pt-BR"/>
        </w:rPr>
      </w:r>
    </w:p>
    <w:p w14:paraId="0AC90E8B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AB4512F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 w:bidi="pt-BR"/>
        </w:rPr>
      </w:r>
      <w:r>
        <w:rPr>
          <w:color w:val="000000" w:themeColor="text1"/>
          <w:lang w:val="pt-BR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/>
        </w:rPr>
        <w:t xml:space="preserve">Relatório parcial</w:t>
      </w:r>
      <w:r>
        <w:rPr>
          <w:color w:val="000000" w:themeColor="text1"/>
          <w:lang w:val="pt-BR"/>
        </w:rPr>
      </w:r>
    </w:p>
    <w:p w14:paraId="1191B88E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AFD8D70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0B9AE6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205098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74E16E0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19C55A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7722CD0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  <w:highlight w:val="none"/>
          <w:lang w:val="pt-BR"/>
        </w:rPr>
      </w:pPr>
      <w:r>
        <w:rPr>
          <w:color w:val="000000" w:themeColor="text1"/>
          <w:lang w:val="pt-BR"/>
        </w:rPr>
        <w:t xml:space="preserve">Autor: Gabriel Góes Rocha de Lima</w:t>
        <w:br/>
        <w:t xml:space="preserve">Orientador: Prof. Dr. Caetano Juliani</w:t>
      </w:r>
      <w:r>
        <w:rPr>
          <w:color w:val="000000" w:themeColor="text1"/>
        </w:rPr>
      </w:r>
    </w:p>
    <w:p w14:paraId="292088AE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392EF9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E616F3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86B8796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7361A8D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097BB3F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799FCA0"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pt-BR"/>
        </w:rPr>
        <w:t xml:space="preserve">São Paulo, janeiro de 2026</w:t>
      </w:r>
      <w:r>
        <w:rPr>
          <w:color w:val="000000" w:themeColor="text1"/>
          <w:lang w:val="pt-BR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pt-BR"/>
        </w:rPr>
      </w:sdtPr>
      <w:sdtContent>
        <w:p w14:paraId="6B1A3BCC">
          <w:pPr>
            <w:pStyle w:val="189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r>
            <w:rPr>
              <w:color w:val="000000" w:themeColor="text1"/>
              <w:highlight w:val="none"/>
              <w:lang w:val="pt-BR" w:bidi="pt-BR"/>
            </w:rPr>
          </w: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TOC \o "1-9" \h </w:instrText>
          </w:r>
          <w:r>
            <w:rPr>
              <w:color w:val="000000" w:themeColor="text1"/>
            </w:rPr>
            <w:fldChar w:fldCharType="separate"/>
          </w:r>
          <w:r>
            <w:rPr>
              <w:color w:val="000000" w:themeColor="text1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Resumo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06E59921">
          <w:pPr>
            <w:pStyle w:val="189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1. Introdução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22B7AD9E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2. Objetivos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 w14:paraId="5C0648F0">
          <w:pPr>
            <w:pStyle w:val="190"/>
            <w:pBdr/>
            <w:tabs>
              <w:tab w:val="right" w:leader="dot" w:pos="9072"/>
            </w:tabs>
            <w:spacing/>
            <w:ind/>
            <w:rPr/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2.1 Objetivos específicos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2E6A44A1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3. Contexto geológico regional: Sistema de Nappes Socorro–Guaxupé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</w:p>
        <w:p w14:paraId="6A915E31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4. Materiais e dados utilizados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</w:p>
        <w:p w14:paraId="5875DB39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5. Metodologia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</w:p>
        <w:p w14:paraId="7823B495">
          <w:pPr>
            <w:pStyle w:val="190"/>
            <w:pBdr/>
            <w:tabs>
              <w:tab w:val="right" w:leader="dot" w:pos="9072"/>
            </w:tabs>
            <w:spacing/>
            <w:ind/>
            <w:rPr/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5.1 Organização e padronização da base de dados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</w:p>
        <w:p w14:paraId="0AE32455">
          <w:pPr>
            <w:pStyle w:val="190"/>
            <w:pBdr/>
            <w:tabs>
              <w:tab w:val="right" w:leader="dot" w:pos="9072"/>
            </w:tabs>
            <w:spacing/>
            <w:ind/>
            <w:rPr/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5.2 Pré-processamento aerogeofísico e geração de atributos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/>
        </w:p>
        <w:p w14:paraId="3D77969F">
          <w:pPr>
            <w:pStyle w:val="190"/>
            <w:pBdr/>
            <w:tabs>
              <w:tab w:val="right" w:leader="dot" w:pos="9072"/>
            </w:tabs>
            <w:spacing/>
            <w:ind/>
            <w:rPr/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5.3 Modelagem e avaliação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</w:p>
        <w:p w14:paraId="4085FCEE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6. Resultados parciais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/>
        </w:p>
        <w:p w14:paraId="19EBA7C8">
          <w:pPr>
            <w:pStyle w:val="189"/>
            <w:pBdr/>
            <w:tabs>
              <w:tab w:val="right" w:leader="dot" w:pos="9072"/>
            </w:tabs>
            <w:spacing/>
            <w:ind/>
            <w:rPr/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7. Resultados esperados e próximos passos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/>
        </w:p>
        <w:p w14:paraId="48F74823">
          <w:pPr>
            <w:pStyle w:val="189"/>
            <w:pBdr/>
            <w:tabs>
              <w:tab w:val="right" w:leader="dot" w:pos="9072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  <w:lang w:val="pt-BR"/>
              </w:rPr>
              <w:t xml:space="preserve">8. Bibliografia (selecionada)</w:t>
            </w:r>
            <w:r>
              <w:rPr>
                <w:rStyle w:val="187"/>
                <w:lang w:val="pt-BR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71773740">
          <w:pPr>
            <w:pBdr/>
            <w:spacing/>
            <w:ind/>
            <w:rPr>
              <w:color w:val="000000" w:themeColor="text1"/>
              <w:highlight w:val="none"/>
            </w:rPr>
          </w:pPr>
          <w:r>
            <w:rPr>
              <w:color w:val="000000" w:themeColor="text1"/>
            </w:rPr>
          </w:r>
          <w:r>
            <w:rPr>
              <w:color w:val="000000" w:themeColor="text1"/>
            </w:rPr>
            <w:fldChar w:fldCharType="end"/>
          </w:r>
          <w:r/>
          <w:r/>
        </w:p>
      </w:sdtContent>
    </w:sdt>
    <w:p w14:paraId="6F1FD6E5">
      <w:pPr>
        <w:pBdr/>
        <w:shd w:val="nil"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pt-BR"/>
        </w:rPr>
        <w:br w:type="page" w:clear="all"/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93"/>
        <w:pBdr/>
        <w:spacing/>
        <w:ind/>
        <w:jc w:val="both"/>
        <w:rPr>
          <w:highlight w:val="none"/>
          <w14:ligatures w14:val="none"/>
        </w:rPr>
      </w:pPr>
      <w:r/>
      <w:bookmarkStart w:id="1" w:name="_Toc1"/>
      <w:r>
        <w:rPr>
          <w:lang w:val="pt-BR"/>
        </w:rPr>
        <w:t xml:space="preserve">Resumo</w:t>
      </w:r>
      <w:r/>
      <w:bookmarkEnd w:id="1"/>
      <w:r/>
      <w:r>
        <w:rPr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Este relatório parcial sintetiza o andamento do projeto de Iniciação Científica voltado à aplicação de técnicas de Inteligência Arti</w:t>
      </w:r>
      <w:r>
        <w:rPr>
          <w:color w:val="000000" w:themeColor="text1"/>
          <w:lang w:val="pt-BR"/>
        </w:rPr>
        <w:t xml:space="preserve">ficial (IA) e aprendizado de máquina em exploração mineral, com foco em grafita. O trabalho dá continuidade às etapas já desenvolvidas em relatórios anteriores, priorizando: </w:t>
      </w:r>
      <w:r>
        <w:rPr>
          <w:color w:val="000000" w:themeColor="text1"/>
          <w:lang w:val="pt-BR"/>
        </w:rPr>
        <w:t xml:space="preserve">(</w:t>
      </w:r>
      <w:r>
        <w:rPr>
          <w:b/>
          <w:bCs/>
          <w:color w:val="000000" w:themeColor="text1"/>
          <w:lang w:val="pt-BR"/>
        </w:rPr>
        <w:t xml:space="preserve">i</w:t>
      </w:r>
      <w:r>
        <w:rPr>
          <w:color w:val="000000" w:themeColor="text1"/>
          <w:lang w:val="pt-BR"/>
        </w:rPr>
        <w:t xml:space="preserve">) organização e padronização de bases de dados geoespaciais (geologia e aerogeof</w:t>
      </w:r>
      <w:r>
        <w:rPr>
          <w:color w:val="000000" w:themeColor="text1"/>
          <w:lang w:val="pt-BR"/>
        </w:rPr>
        <w:t xml:space="preserve">ísica) em ambiente reprodutível; (</w:t>
      </w:r>
      <w:r>
        <w:rPr>
          <w:b/>
          <w:bCs/>
          <w:color w:val="000000" w:themeColor="text1"/>
          <w:lang w:val="pt-BR"/>
        </w:rPr>
        <w:t xml:space="preserve">ii</w:t>
      </w:r>
      <w:r>
        <w:rPr>
          <w:color w:val="000000" w:themeColor="text1"/>
          <w:lang w:val="pt-BR"/>
        </w:rPr>
        <w:t xml:space="preserve">) pré-processamento de levantamentos aerogeofísicos (magnetometria e gamaespectrometria); e (</w:t>
      </w:r>
      <w:r>
        <w:rPr>
          <w:b/>
          <w:bCs/>
          <w:color w:val="000000" w:themeColor="text1"/>
          <w:lang w:val="pt-BR"/>
        </w:rPr>
        <w:t xml:space="preserve">iii</w:t>
      </w:r>
      <w:r>
        <w:rPr>
          <w:color w:val="000000" w:themeColor="text1"/>
          <w:lang w:val="pt-BR"/>
        </w:rPr>
        <w:t xml:space="preserve">) experimentos de modelagem supervisionada e não supervisionada para suporte a mapeamento litológico preditivo e prospecção.</w:t>
      </w:r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  <w:lang w:val="pt-BR"/>
        </w:rPr>
        <w:t xml:space="preserve">Nesta entrega, não são incluídas figuras:</w:t>
      </w:r>
      <w:r>
        <w:rPr>
          <w:color w:val="000000" w:themeColor="text1"/>
          <w:lang w:val="pt-BR"/>
        </w:rPr>
        <w:t xml:space="preserve"> os resultados parciais são descritos textualmente, destacando achados metodológicos, limitações observadas (p.ex., discrepâncias entre levantamentos e vieses</w:t>
      </w:r>
      <w:r>
        <w:rPr>
          <w:color w:val="000000" w:themeColor="text1"/>
          <w:lang w:val="pt-BR"/>
        </w:rPr>
        <w:t xml:space="preserve"> de amostragem) e próximos passos necessários para consolidar a entrega final. Também é apresentada uma síntese do contexto geológico regional do Sistema de Nappes Socorro–Guaxupé (SE do Brasil), referência tectonoestratigráfica central para a região-alvo.</w:t>
      </w:r>
      <w:r>
        <w:rPr>
          <w:color w:val="000000" w:themeColor="text1"/>
          <w:lang w:val="pt-BR"/>
        </w:rPr>
      </w:r>
      <w:r>
        <w:rPr>
          <w:color w:val="000000" w:themeColor="text1"/>
        </w:rPr>
      </w:r>
    </w:p>
    <w:p w14:paraId="3522A2BC">
      <w:pPr>
        <w:pBdr/>
        <w:shd w:val="nil"/>
        <w:spacing/>
        <w:ind/>
        <w:rPr>
          <w:color w:val="000000" w:themeColor="text1"/>
        </w:rPr>
      </w:pPr>
      <w:r>
        <w:rPr>
          <w:color w:val="000000" w:themeColor="text1"/>
          <w:highlight w:val="none"/>
          <w:lang w:val="pt-BR"/>
        </w:rPr>
        <w:br w:type="page" w:clear="all"/>
      </w:r>
      <w:r>
        <w:rPr>
          <w:color w:val="000000" w:themeColor="text1"/>
          <w:highlight w:val="none"/>
          <w:lang w:val="pt-BR"/>
        </w:rPr>
      </w:r>
      <w:r>
        <w:rPr>
          <w:color w:val="000000" w:themeColor="text1"/>
          <w:highlight w:val="none"/>
          <w:lang w:val="pt-BR"/>
        </w:rPr>
      </w:r>
    </w:p>
    <w:p>
      <w:pPr>
        <w:pStyle w:val="693"/>
        <w:pBdr/>
        <w:spacing/>
        <w:ind/>
        <w:jc w:val="both"/>
        <w:rPr>
          <w:highlight w:val="none"/>
          <w14:ligatures w14:val="none"/>
        </w:rPr>
      </w:pPr>
      <w:r/>
      <w:bookmarkStart w:id="2" w:name="_Toc2"/>
      <w:r>
        <w:rPr>
          <w:lang w:val="pt-BR"/>
        </w:rPr>
        <w:t xml:space="preserve">1. Introdução</w:t>
      </w:r>
      <w:r/>
      <w:bookmarkEnd w:id="2"/>
      <w:r/>
      <w:r>
        <w:rPr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 disponibilidade crescente de dados geológicos, geoquímicos e geofísicos ampliou o potencial de descoberta de depósitos minerais, mas elevou o desafio de integração, armazenamento e interpretação. Em áreas com mapeamento geológico heterogêneo</w:t>
      </w:r>
      <w:r>
        <w:rPr>
          <w:color w:val="000000" w:themeColor="text1"/>
          <w:lang w:val="pt-BR"/>
        </w:rPr>
        <w:t xml:space="preserve"> em escala, cobertura de solo/vegetação e levantamentos aerogeofísicos distintos (linhas de voo, alturas, correções), a integração </w:t>
      </w:r>
      <w:r>
        <w:rPr>
          <w:color w:val="000000" w:themeColor="text1"/>
          <w:lang w:val="pt-BR"/>
        </w:rPr>
        <w:t xml:space="preserve">quantitativa </w:t>
      </w:r>
      <w:r>
        <w:rPr>
          <w:color w:val="000000" w:themeColor="text1"/>
          <w:lang w:val="pt-BR"/>
        </w:rPr>
        <w:t xml:space="preserve">de múltiplas camadas de informação torna-se relevante para reduzir incertezas e orientar decisões de prospecção.</w:t>
      </w:r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Métodos de IA e aprendizado de máquina podem ser usados como ferramentas de integração de dados e inferência espacial, desde que apoiados por: (i</w:t>
      </w:r>
      <w:r>
        <w:rPr>
          <w:b/>
          <w:bCs/>
          <w:color w:val="000000" w:themeColor="text1"/>
          <w:lang w:val="pt-BR"/>
        </w:rPr>
        <w:t xml:space="preserve">) </w:t>
      </w:r>
      <w:r>
        <w:rPr>
          <w:color w:val="000000" w:themeColor="text1"/>
          <w:lang w:val="pt-BR"/>
        </w:rPr>
        <w:t xml:space="preserve">base de dados consistente e auditável; (</w:t>
      </w:r>
      <w:r>
        <w:rPr>
          <w:b/>
          <w:bCs/>
          <w:color w:val="000000" w:themeColor="text1"/>
          <w:lang w:val="pt-BR"/>
        </w:rPr>
        <w:t xml:space="preserve">ii</w:t>
      </w:r>
      <w:r>
        <w:rPr>
          <w:color w:val="000000" w:themeColor="text1"/>
          <w:lang w:val="pt-BR"/>
        </w:rPr>
        <w:t xml:space="preserve">) pré-processamento adequado; e (</w:t>
      </w:r>
      <w:r>
        <w:rPr>
          <w:b/>
          <w:bCs/>
          <w:color w:val="000000" w:themeColor="text1"/>
          <w:lang w:val="pt-BR"/>
        </w:rPr>
        <w:t xml:space="preserve">iii</w:t>
      </w:r>
      <w:r>
        <w:rPr>
          <w:color w:val="000000" w:themeColor="text1"/>
          <w:lang w:val="pt-BR"/>
        </w:rPr>
        <w:t xml:space="preserve">) validação crítica qu</w:t>
      </w:r>
      <w:r>
        <w:rPr>
          <w:color w:val="000000" w:themeColor="text1"/>
          <w:lang w:val="pt-BR"/>
        </w:rPr>
        <w:t xml:space="preserve">anto a vieses (desbalanceamento de classes, autocorrelação espacial e sobreajuste). Para grafita, a motivação adicional está ligada ao seu amplo uso industrial e tecnológico, com aplicações em refratários, lubrificantes e na cadeia de materiais de energia.</w:t>
      </w:r>
      <w:r>
        <w:rPr>
          <w:color w:val="000000" w:themeColor="text1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</w:rPr>
      </w:pPr>
      <w:r/>
      <w:bookmarkStart w:id="3" w:name="_Toc3"/>
      <w:r>
        <w:rPr>
          <w:color w:val="000000" w:themeColor="text1"/>
          <w:lang w:val="pt-BR"/>
        </w:rPr>
        <w:t xml:space="preserve">2. Objetivos</w:t>
      </w:r>
      <w:r/>
      <w:bookmarkEnd w:id="3"/>
      <w:r/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O objetivo geral é investigar e aplicar técnicas de IA na exploração mineral para grafita, integrando dados geológicos e aerogeofísicos para produzir mapas litológicos preditivos e subsidiar uma análise prospectiva mineral.</w:t>
      </w:r>
      <w:r>
        <w:rPr>
          <w:color w:val="000000" w:themeColor="text1"/>
          <w:lang w:val="pt-BR"/>
        </w:rPr>
      </w:r>
    </w:p>
    <w:p>
      <w:pPr>
        <w:pStyle w:val="694"/>
        <w:pBdr/>
        <w:spacing/>
        <w:ind/>
        <w:jc w:val="both"/>
        <w:rPr>
          <w:color w:val="000000" w:themeColor="text1"/>
        </w:rPr>
      </w:pPr>
      <w:r/>
      <w:bookmarkStart w:id="4" w:name="_Toc4"/>
      <w:r>
        <w:rPr>
          <w:color w:val="000000" w:themeColor="text1"/>
          <w:lang w:val="pt-BR"/>
        </w:rPr>
        <w:t xml:space="preserve">2.1 Objetivos específicos</w:t>
      </w:r>
      <w:r/>
      <w:bookmarkEnd w:id="4"/>
      <w:r/>
      <w:r>
        <w:rPr>
          <w:color w:val="000000" w:themeColor="text1"/>
          <w:lang w:val="pt-BR"/>
        </w:rPr>
      </w:r>
    </w:p>
    <w:p>
      <w:pPr>
        <w:pStyle w:val="723"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  <w:t xml:space="preserve">Consolidar e documentar um fluxo reprodutível de construção e manutenção de uma base de dados geoespacial integrada (vetores e rasters) para a área de estudo.</w:t>
      </w:r>
      <w:r>
        <w:rPr>
          <w:color w:val="000000" w:themeColor="text1"/>
          <w:sz w:val="22"/>
          <w:szCs w:val="22"/>
          <w:lang w:val="pt-BR"/>
        </w:rPr>
      </w:r>
    </w:p>
    <w:p>
      <w:pPr>
        <w:pStyle w:val="723"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  <w:t xml:space="preserve">Pré-processar levantamentos aeromagnetométricos e aerogamaespectrométricos, gerando produtos derivados relevantes à interpretação geológica e à modelagem.</w:t>
      </w:r>
      <w:r>
        <w:rPr>
          <w:color w:val="000000" w:themeColor="text1"/>
          <w:sz w:val="22"/>
          <w:szCs w:val="22"/>
          <w:lang w:val="pt-BR"/>
        </w:rPr>
      </w:r>
    </w:p>
    <w:p>
      <w:pPr>
        <w:pStyle w:val="723"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  <w:t xml:space="preserve">Testar e avaliar métodos de aprendizado de máquina supervisionado (</w:t>
      </w:r>
      <w:r>
        <w:rPr>
          <w:i/>
          <w:iCs/>
          <w:color w:val="000000" w:themeColor="text1"/>
          <w:sz w:val="22"/>
          <w:szCs w:val="22"/>
          <w:lang w:val="pt-BR"/>
        </w:rPr>
        <w:t xml:space="preserve">Random Forest, SVM</w:t>
      </w:r>
      <w:r>
        <w:rPr>
          <w:color w:val="000000" w:themeColor="text1"/>
          <w:sz w:val="22"/>
          <w:szCs w:val="22"/>
          <w:lang w:val="pt-BR"/>
        </w:rPr>
        <w:t xml:space="preserve">) e não supervisionado (SOM), com ênfase em sensibilidade a variáveis e vieses de amostragem.</w:t>
      </w:r>
      <w:r>
        <w:rPr>
          <w:color w:val="000000" w:themeColor="text1"/>
          <w:sz w:val="22"/>
          <w:szCs w:val="22"/>
          <w:lang w:val="pt-BR"/>
        </w:rPr>
      </w:r>
    </w:p>
    <w:p>
      <w:pPr>
        <w:pStyle w:val="723"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  <w:t xml:space="preserve">Definir critérios de validação e generalização espacial, com foco em evitar sobreestimação de desempenho por autocorrelação espacial.</w:t>
      </w:r>
      <w:r>
        <w:rPr>
          <w:color w:val="000000" w:themeColor="text1"/>
          <w:sz w:val="22"/>
          <w:szCs w:val="22"/>
          <w:lang w:val="pt-BR"/>
        </w:rPr>
      </w:r>
    </w:p>
    <w:p>
      <w:pPr>
        <w:pStyle w:val="723"/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  <w:lang w:val="pt-BR"/>
        </w:rPr>
        <w:t xml:space="preserve">Planejar a transição do protótipo computacional para uma ferramenta operável em SIG (p.ex., plugin no QGIS) e preparar a entrega final do relatório com mapas e anexos técnicos.</w:t>
      </w:r>
      <w:r>
        <w:rPr>
          <w:color w:val="000000" w:themeColor="text1"/>
          <w:sz w:val="22"/>
          <w:szCs w:val="22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  <w:lang w:val="pt-BR"/>
        </w:rPr>
      </w:pPr>
      <w:r/>
      <w:bookmarkStart w:id="5" w:name="_Toc5"/>
      <w:r>
        <w:rPr>
          <w:color w:val="000000" w:themeColor="text1"/>
          <w:lang w:val="pt-BR"/>
        </w:rPr>
        <w:t xml:space="preserve">3. Contexto geológico regional</w:t>
      </w:r>
      <w:r>
        <w:rPr>
          <w:color w:val="000000" w:themeColor="text1"/>
        </w:rPr>
      </w:r>
    </w:p>
    <w:p w14:paraId="6F978BD3">
      <w:pPr>
        <w:pStyle w:val="694"/>
        <w:pBdr/>
        <w:spacing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pt-BR"/>
        </w:rPr>
        <w:t xml:space="preserve">3.1 Sistema de Nappes Socorro–Guaxupé</w:t>
      </w:r>
      <w:r>
        <w:rPr>
          <w:sz w:val="24"/>
          <w:szCs w:val="24"/>
        </w:rPr>
      </w:r>
      <w:bookmarkEnd w:id="5"/>
      <w:r>
        <w:rPr>
          <w:color w:val="000000" w:themeColor="text1"/>
          <w:sz w:val="24"/>
          <w:szCs w:val="24"/>
          <w:lang w:val="pt-BR"/>
        </w:rPr>
      </w:r>
      <w:r>
        <w:rPr>
          <w:sz w:val="24"/>
          <w:szCs w:val="24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O Sudeste do Brasil registra importante evolução neoproterozoica associada ao ciclo Brasiliano, com convergência entre blocos/crátons e desenvolvimento de orógenos e sistemas de nappes. No do</w:t>
      </w:r>
      <w:r>
        <w:rPr>
          <w:color w:val="000000" w:themeColor="text1"/>
          <w:lang w:val="pt-BR"/>
        </w:rPr>
        <w:t xml:space="preserve">mínio do Orógeno Brasília meridional, o Sistema de Nappes Socorro–Guaxupé (SGN) expõe uma seção crustal de médio a alto grau metamórfico, interpretada como remanescentes de arco magmático e unidades associadas, empurradas durante a colisão neoproterozoica.</w:t>
      </w:r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Sínteses indicam que o SGN é compartimentado em dois lobos principais — Guaxupé (ao norte) e Socorro (ao sul) — separados pela Zona de Cisalhamento de Ouro Fino. No lobo Guaxupé, uma divisão recorrente separa t</w:t>
      </w:r>
      <w:r>
        <w:rPr>
          <w:color w:val="000000" w:themeColor="text1"/>
          <w:lang w:val="pt-BR"/>
        </w:rPr>
        <w:t xml:space="preserve">rês conjuntos regionais representando diferentes níveis/processos crustais: unidade granulítica, unidade diatexítica e unidade metatexítica (migmatítica). Esse arcabouço auxilia a interpretação integrada de cartografia geológica e respostas aerogeofísicas.</w:t>
      </w:r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Esse contexto regional é relevante para o projeto por dois motivos: (</w:t>
      </w:r>
      <w:r>
        <w:rPr>
          <w:b/>
          <w:bCs/>
          <w:color w:val="000000" w:themeColor="text1"/>
          <w:lang w:val="pt-BR"/>
        </w:rPr>
        <w:t xml:space="preserve">i</w:t>
      </w:r>
      <w:r>
        <w:rPr>
          <w:color w:val="000000" w:themeColor="text1"/>
          <w:lang w:val="pt-BR"/>
        </w:rPr>
        <w:t xml:space="preserve">) define domínios te</w:t>
      </w:r>
      <w:r>
        <w:rPr>
          <w:color w:val="000000" w:themeColor="text1"/>
          <w:lang w:val="pt-BR"/>
        </w:rPr>
        <w:t xml:space="preserve">ctonoestratigráficos e litológicos que controlam a resposta geofísica (magnetometria e radiometria), e (</w:t>
      </w:r>
      <w:r>
        <w:rPr>
          <w:b/>
          <w:bCs/>
          <w:color w:val="000000" w:themeColor="text1"/>
          <w:lang w:val="pt-BR"/>
        </w:rPr>
        <w:t xml:space="preserve">ii</w:t>
      </w:r>
      <w:r>
        <w:rPr>
          <w:color w:val="000000" w:themeColor="text1"/>
          <w:lang w:val="pt-BR"/>
        </w:rPr>
        <w:t xml:space="preserve">) orienta a interpretação geológica das predições de modelos, reduzindo o risco de resultados estatisticamente bons, porém geologicamente incoerentes.</w:t>
      </w:r>
      <w:r>
        <w:rPr>
          <w:color w:val="000000" w:themeColor="text1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</w:rPr>
      </w:pPr>
      <w:r/>
      <w:bookmarkStart w:id="6" w:name="_Toc6"/>
      <w:r>
        <w:rPr>
          <w:color w:val="000000" w:themeColor="text1"/>
          <w:lang w:val="pt-BR"/>
        </w:rPr>
        <w:t xml:space="preserve">4. Materiais e dados utilizados</w:t>
      </w:r>
      <w:r/>
      <w:bookmarkEnd w:id="6"/>
      <w:r/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As etapas executadas e planejadas utilizam principalmente: (</w:t>
      </w:r>
      <w:r>
        <w:rPr>
          <w:b/>
          <w:bCs/>
          <w:color w:val="000000" w:themeColor="text1"/>
          <w:lang w:val="pt-BR"/>
        </w:rPr>
        <w:t xml:space="preserve">i</w:t>
      </w:r>
      <w:r>
        <w:rPr>
          <w:b w:val="0"/>
          <w:bCs w:val="0"/>
          <w:color w:val="000000" w:themeColor="text1"/>
          <w:lang w:val="pt-BR"/>
        </w:rPr>
        <w:t xml:space="preserve">) </w:t>
      </w:r>
      <w:r>
        <w:rPr>
          <w:color w:val="000000" w:themeColor="text1"/>
          <w:lang w:val="pt-BR"/>
        </w:rPr>
        <w:t xml:space="preserve">cartografia geológica vetorial (unidades litológicas e estruturas) obtida de bases públicas e/ou compiladas em escala compatível com a área de estudo; (</w:t>
      </w:r>
      <w:r>
        <w:rPr>
          <w:b/>
          <w:bCs/>
          <w:color w:val="000000" w:themeColor="text1"/>
          <w:lang w:val="pt-BR"/>
        </w:rPr>
        <w:t xml:space="preserve">ii</w:t>
      </w:r>
      <w:r>
        <w:rPr>
          <w:color w:val="000000" w:themeColor="text1"/>
          <w:lang w:val="pt-BR"/>
        </w:rPr>
        <w:t xml:space="preserve">) levant</w:t>
      </w:r>
      <w:r>
        <w:rPr>
          <w:color w:val="000000" w:themeColor="text1"/>
          <w:lang w:val="pt-BR"/>
        </w:rPr>
        <w:t xml:space="preserve">amentos aerogeofísicos do SGB/CPRM, incluindo magnetometria e gamaespectrometria (canais K, eU, eTh e produtos derivados); e (</w:t>
      </w:r>
      <w:r>
        <w:rPr>
          <w:b/>
          <w:bCs/>
          <w:color w:val="000000" w:themeColor="text1"/>
          <w:lang w:val="pt-BR"/>
        </w:rPr>
        <w:t xml:space="preserve">iii</w:t>
      </w:r>
      <w:r>
        <w:rPr>
          <w:color w:val="000000" w:themeColor="text1"/>
          <w:lang w:val="pt-BR"/>
        </w:rPr>
        <w:t xml:space="preserve">) dados auxiliares para validação e interpretação (p.ex., modelo digital de terreno e ocorrências minerais quando disponíveis).</w:t>
      </w:r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As ferramentas incluem ambiente </w:t>
      </w:r>
      <w:r>
        <w:rPr>
          <w:i/>
          <w:iCs/>
          <w:color w:val="000000" w:themeColor="text1"/>
          <w:lang w:val="pt-BR"/>
        </w:rPr>
        <w:t xml:space="preserve">Python </w:t>
      </w:r>
      <w:r>
        <w:rPr>
          <w:color w:val="000000" w:themeColor="text1"/>
          <w:lang w:val="pt-BR"/>
        </w:rPr>
        <w:t xml:space="preserve">(manipulação geoespacial e apre</w:t>
      </w:r>
      <w:r>
        <w:rPr>
          <w:color w:val="000000" w:themeColor="text1"/>
          <w:lang w:val="pt-BR"/>
        </w:rPr>
        <w:t xml:space="preserve">ndizado de máquina), </w:t>
      </w:r>
      <w:r>
        <w:rPr>
          <w:i/>
          <w:iCs/>
          <w:color w:val="000000" w:themeColor="text1"/>
          <w:lang w:val="pt-BR"/>
        </w:rPr>
        <w:t xml:space="preserve">QGIS </w:t>
      </w:r>
      <w:r>
        <w:rPr>
          <w:color w:val="000000" w:themeColor="text1"/>
          <w:lang w:val="pt-BR"/>
        </w:rPr>
        <w:t xml:space="preserve">para inspeção/validação espacial, e banco de dados espacial (</w:t>
      </w:r>
      <w:r>
        <w:rPr>
          <w:i/>
          <w:iCs/>
          <w:color w:val="000000" w:themeColor="text1"/>
          <w:lang w:val="pt-BR"/>
        </w:rPr>
        <w:t xml:space="preserve">PostgreSQL</w:t>
      </w:r>
      <w:r>
        <w:rPr>
          <w:color w:val="000000" w:themeColor="text1"/>
          <w:lang w:val="pt-BR"/>
        </w:rPr>
        <w:t xml:space="preserve">/</w:t>
      </w:r>
      <w:r>
        <w:rPr>
          <w:i/>
          <w:iCs/>
          <w:color w:val="000000" w:themeColor="text1"/>
          <w:lang w:val="pt-BR"/>
        </w:rPr>
        <w:t xml:space="preserve">PostGIS</w:t>
      </w:r>
      <w:r>
        <w:rPr>
          <w:color w:val="000000" w:themeColor="text1"/>
          <w:lang w:val="pt-BR"/>
        </w:rPr>
        <w:t xml:space="preserve">) para armazenamento e versionamento lógico. A meta é manter o processamento reprodutível, com rastreabilidade de parâmetros e integração entre etapas.</w:t>
      </w:r>
      <w:r>
        <w:rPr>
          <w:color w:val="000000" w:themeColor="text1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</w:rPr>
      </w:pPr>
      <w:r/>
      <w:bookmarkStart w:id="7" w:name="_Toc7"/>
      <w:r>
        <w:rPr>
          <w:color w:val="000000" w:themeColor="text1"/>
          <w:lang w:val="pt-BR"/>
        </w:rPr>
        <w:t xml:space="preserve">5. Metodologia</w:t>
      </w:r>
      <w:r/>
      <w:bookmarkEnd w:id="7"/>
      <w:r/>
      <w:r>
        <w:rPr>
          <w:color w:val="000000" w:themeColor="text1"/>
          <w:lang w:val="pt-BR"/>
        </w:rPr>
      </w:r>
    </w:p>
    <w:p>
      <w:pPr>
        <w:pStyle w:val="694"/>
        <w:pBdr/>
        <w:spacing/>
        <w:ind/>
        <w:jc w:val="both"/>
        <w:rPr>
          <w:color w:val="000000" w:themeColor="text1"/>
        </w:rPr>
      </w:pPr>
      <w:r/>
      <w:bookmarkStart w:id="8" w:name="_Toc8"/>
      <w:r>
        <w:rPr>
          <w:color w:val="000000" w:themeColor="text1"/>
          <w:lang w:val="pt-BR"/>
        </w:rPr>
        <w:t xml:space="preserve">5.1 Organização e padronização da base de dados</w:t>
      </w:r>
      <w:r/>
      <w:bookmarkEnd w:id="8"/>
      <w:r/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 base de dados é estruturada para permitir: recorte espacial consistente; padronização de sistemas de referência e resoluções;</w:t>
      </w:r>
      <w:r>
        <w:rPr>
          <w:color w:val="000000" w:themeColor="text1"/>
          <w:lang w:val="pt-BR"/>
        </w:rPr>
        <w:t xml:space="preserve"> controle de qualidade de atributos e topologia; e extração automatizada de amostras para treinamento e validação. Essa etapa é crítica, pois inconsistências de projeção, resolução e nomenclatura propagam erro e comprometem a interpretabilidade das saídas.</w:t>
      </w:r>
      <w:r>
        <w:rPr>
          <w:color w:val="000000" w:themeColor="text1"/>
          <w:lang w:val="pt-BR"/>
        </w:rPr>
      </w:r>
    </w:p>
    <w:p>
      <w:pPr>
        <w:pStyle w:val="694"/>
        <w:pBdr/>
        <w:spacing/>
        <w:ind/>
        <w:jc w:val="both"/>
        <w:rPr>
          <w:color w:val="000000" w:themeColor="text1"/>
        </w:rPr>
      </w:pPr>
      <w:r/>
      <w:bookmarkStart w:id="9" w:name="_Toc9"/>
      <w:r>
        <w:rPr>
          <w:color w:val="000000" w:themeColor="text1"/>
          <w:lang w:val="pt-BR"/>
        </w:rPr>
        <w:t xml:space="preserve">5.2 Pré-processamento aerogeofísico e geração de atributos</w:t>
      </w:r>
      <w:r/>
      <w:bookmarkEnd w:id="9"/>
      <w:r/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Os dados aerogeofísicos demandam compatibilização entre levantamentos (linhas de voo, espaçamento, altura, co</w:t>
      </w:r>
      <w:r>
        <w:rPr>
          <w:color w:val="000000" w:themeColor="text1"/>
          <w:lang w:val="pt-BR"/>
        </w:rPr>
        <w:t xml:space="preserve">rreções e nivelamento), seguida de interpolação para geração de grades regulares. Produtos derivados utilizados como atributos incluem amplitude do sinal analítico e gradientes (magnetometria), além de razões e composições (mapas ternários) em radiometria.</w:t>
      </w:r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Uma atenção específica é dada ao impacto d</w:t>
      </w:r>
      <w:r>
        <w:rPr>
          <w:color w:val="000000" w:themeColor="text1"/>
          <w:lang w:val="pt-BR"/>
        </w:rPr>
        <w:t xml:space="preserve">e parâmetros de interpolação e à qualidade por canal. Variáveis com maior ruído instrumental ou amostral podem induzir confusão entre classes e reduzir poder preditivo, o que é diagnosticável por métricas de importância de variáveis e matrizes de confusão.</w:t>
      </w:r>
      <w:r>
        <w:rPr>
          <w:color w:val="000000" w:themeColor="text1"/>
          <w:lang w:val="pt-BR"/>
        </w:rPr>
      </w:r>
    </w:p>
    <w:p>
      <w:pPr>
        <w:pStyle w:val="694"/>
        <w:pBdr/>
        <w:spacing/>
        <w:ind/>
        <w:jc w:val="both"/>
        <w:rPr>
          <w:color w:val="000000" w:themeColor="text1"/>
        </w:rPr>
      </w:pPr>
      <w:r/>
      <w:bookmarkStart w:id="10" w:name="_Toc10"/>
      <w:r>
        <w:rPr>
          <w:color w:val="000000" w:themeColor="text1"/>
          <w:lang w:val="pt-BR"/>
        </w:rPr>
        <w:t xml:space="preserve">5.3 Modelagem e avaliação</w:t>
      </w:r>
      <w:r/>
      <w:bookmarkEnd w:id="10"/>
      <w:r/>
      <w:r>
        <w:rPr>
          <w:color w:val="000000" w:themeColor="text1"/>
          <w:lang w:val="pt-BR"/>
        </w:rPr>
      </w:r>
    </w:p>
    <w:p>
      <w:pPr>
        <w:pBdr/>
        <w:spacing/>
        <w:ind w:firstLine="720"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 modelagem segue duas linhas complementares:</w:t>
      </w:r>
      <w:r>
        <w:rPr>
          <w:color w:val="000000" w:themeColor="text1"/>
          <w:lang w:val="pt-BR"/>
        </w:rPr>
      </w:r>
    </w:p>
    <w:p>
      <w:pPr>
        <w:pStyle w:val="713"/>
        <w:numPr>
          <w:ilvl w:val="0"/>
          <w:numId w:val="10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Não supervisionada: </w:t>
      </w:r>
      <w:r>
        <w:rPr>
          <w:i/>
          <w:iCs/>
          <w:color w:val="000000" w:themeColor="text1"/>
          <w:sz w:val="22"/>
          <w:szCs w:val="20"/>
          <w:lang w:val="pt-BR"/>
        </w:rPr>
        <w:t xml:space="preserve">Self-Organizing Maps (SOM)</w:t>
      </w:r>
      <w:r>
        <w:rPr>
          <w:color w:val="000000" w:themeColor="text1"/>
          <w:sz w:val="22"/>
          <w:szCs w:val="20"/>
          <w:lang w:val="pt-BR"/>
        </w:rPr>
        <w:t xml:space="preserve"> e clusterização para explorar padrões multivariados e sugerir domínios com comportamento geofísico semelhante.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13"/>
        <w:numPr>
          <w:ilvl w:val="0"/>
          <w:numId w:val="10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Supervisionada: </w:t>
      </w:r>
      <w:r>
        <w:rPr>
          <w:i/>
          <w:iCs/>
          <w:color w:val="000000" w:themeColor="text1"/>
          <w:sz w:val="22"/>
          <w:szCs w:val="20"/>
          <w:lang w:val="pt-BR"/>
        </w:rPr>
        <w:t xml:space="preserve">Random Forest e Support Vector Machines</w:t>
      </w:r>
      <w:r>
        <w:rPr>
          <w:color w:val="000000" w:themeColor="text1"/>
          <w:sz w:val="22"/>
          <w:szCs w:val="20"/>
          <w:lang w:val="pt-BR"/>
        </w:rPr>
        <w:t xml:space="preserve"> para classificar unidades litológicas (ou domínios) a partir do conjunto de atributos geofísicos e auxiliares.</w:t>
      </w:r>
      <w:r>
        <w:rPr>
          <w:color w:val="000000" w:themeColor="text1"/>
          <w:sz w:val="22"/>
          <w:szCs w:val="20"/>
          <w:lang w:val="pt-BR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A validação deve ir além de partições al</w:t>
      </w:r>
      <w:r>
        <w:rPr>
          <w:color w:val="000000" w:themeColor="text1"/>
          <w:lang w:val="pt-BR"/>
        </w:rPr>
        <w:t xml:space="preserve">eatórias, incorporando estratégias espaciais (p.ex., blocos/folhas) para reduzir superestimação de desempenho por autocorrelação espacial. Métricas incluem matriz de confusão, acurácia, precisão e recall por classe, com análise crítica de desbalanceamento.</w:t>
      </w:r>
      <w:r>
        <w:rPr>
          <w:color w:val="000000" w:themeColor="text1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</w:rPr>
      </w:pPr>
      <w:r/>
      <w:bookmarkStart w:id="11" w:name="_Toc11"/>
      <w:r>
        <w:rPr>
          <w:color w:val="000000" w:themeColor="text1"/>
          <w:lang w:val="pt-BR"/>
        </w:rPr>
        <w:t xml:space="preserve">6. Resultados parciais</w:t>
      </w:r>
      <w:r/>
      <w:bookmarkEnd w:id="11"/>
      <w:r/>
      <w:r>
        <w:rPr>
          <w:color w:val="000000" w:themeColor="text1"/>
          <w:lang w:val="pt-BR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Os resultados parciais já consolidados podem ser resumidos em:</w:t>
      </w:r>
      <w:r>
        <w:rPr>
          <w:color w:val="000000" w:themeColor="text1"/>
          <w:lang w:val="pt-BR"/>
        </w:rPr>
      </w:r>
    </w:p>
    <w:p>
      <w:pPr>
        <w:pStyle w:val="713"/>
        <w:numPr>
          <w:ilvl w:val="0"/>
          <w:numId w:val="11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Consolidação de uma base geoespacial integrada com camadas geológicas e aerogeofísicas, viabilizando consultas e extrações para experimentos de modelagem.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13"/>
        <w:numPr>
          <w:ilvl w:val="0"/>
          <w:numId w:val="11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Implementação de procedimentos automatizados de pré-processamento e interpolação de dados aerogeofísicos, com registro de parâmetros e testes comparativos.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13"/>
        <w:numPr>
          <w:ilvl w:val="0"/>
          <w:numId w:val="11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Execução de experimentos iniciais de classificação supervisionada (RF/SVM) e exploração não supervisionada (SOM), evidenciando: (</w:t>
      </w:r>
      <w:r>
        <w:rPr>
          <w:b/>
          <w:bCs/>
          <w:color w:val="000000" w:themeColor="text1"/>
          <w:sz w:val="22"/>
          <w:szCs w:val="20"/>
          <w:lang w:val="pt-BR"/>
        </w:rPr>
        <w:t xml:space="preserve">i</w:t>
      </w:r>
      <w:r>
        <w:rPr>
          <w:color w:val="000000" w:themeColor="text1"/>
          <w:sz w:val="22"/>
          <w:szCs w:val="20"/>
          <w:lang w:val="pt-BR"/>
        </w:rPr>
        <w:t xml:space="preserve">) sensibilidade do desempenho a discrepâ</w:t>
      </w:r>
      <w:r>
        <w:rPr>
          <w:color w:val="000000" w:themeColor="text1"/>
          <w:sz w:val="22"/>
          <w:szCs w:val="20"/>
          <w:lang w:val="pt-BR"/>
        </w:rPr>
        <w:t xml:space="preserve">ncias entre levantamentos e à qualidade por canal; e (</w:t>
      </w:r>
      <w:r>
        <w:rPr>
          <w:b/>
          <w:bCs/>
          <w:color w:val="000000" w:themeColor="text1"/>
          <w:sz w:val="22"/>
          <w:szCs w:val="20"/>
          <w:lang w:val="pt-BR"/>
        </w:rPr>
        <w:t xml:space="preserve">ii</w:t>
      </w:r>
      <w:r>
        <w:rPr>
          <w:color w:val="000000" w:themeColor="text1"/>
          <w:sz w:val="22"/>
          <w:szCs w:val="20"/>
          <w:lang w:val="pt-BR"/>
        </w:rPr>
        <w:t xml:space="preserve">) vieses quando há superamostragem de classes/áreas, levando a alta acurácia global, porém baixa precisão para classes minoritárias e tendência a classificar excessivamente litologias mais amostradas.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13"/>
        <w:numPr>
          <w:ilvl w:val="0"/>
          <w:numId w:val="11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Produção de documentação e repositório técnico (códigos e notas metodológicas) para rastreabilidade do fluxo, preparando a etapa de consolidação e entrega final com mapas, validação e discussão geológica.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693"/>
        <w:pBdr/>
        <w:spacing/>
        <w:ind/>
        <w:jc w:val="both"/>
        <w:rPr>
          <w:color w:val="000000" w:themeColor="text1"/>
        </w:rPr>
      </w:pPr>
      <w:r/>
      <w:bookmarkStart w:id="12" w:name="_Toc12"/>
      <w:r>
        <w:rPr>
          <w:color w:val="000000" w:themeColor="text1"/>
          <w:lang w:val="pt-BR"/>
        </w:rPr>
        <w:t xml:space="preserve">7. Resultados esperados e próximos passos</w:t>
      </w:r>
      <w:r/>
      <w:bookmarkEnd w:id="12"/>
      <w:r/>
      <w:r>
        <w:rPr>
          <w:color w:val="000000" w:themeColor="text1"/>
          <w:lang w:val="pt-BR"/>
        </w:rPr>
      </w:r>
    </w:p>
    <w:p>
      <w:pPr>
        <w:pBdr/>
        <w:spacing/>
        <w:ind/>
        <w:jc w:val="both"/>
        <w:rPr>
          <w:color w:val="000000" w:themeColor="text1"/>
        </w:rPr>
      </w:pPr>
      <w:r>
        <w:rPr>
          <w:color w:val="000000" w:themeColor="text1"/>
          <w:lang w:val="pt-BR"/>
        </w:rPr>
        <w:t xml:space="preserve">Para a conclusão do projeto e entrega final (com mapas e validação), estão previstos:</w:t>
      </w:r>
      <w:r>
        <w:rPr>
          <w:color w:val="000000" w:themeColor="text1"/>
          <w:lang w:val="pt-BR"/>
        </w:rPr>
      </w:r>
    </w:p>
    <w:p>
      <w:pPr>
        <w:pStyle w:val="723"/>
        <w:numPr>
          <w:ilvl w:val="0"/>
          <w:numId w:val="12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Protocolos explícitos de QC e harmonização entre diferentes levantamentos aerogeofísicos (resolução, correções e nivelamento).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2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Ampliação/qualificação do conjunto de amostras de treinamento, com tratamento de desbalanceamento e validação espacial robusta.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2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Incorporação de atributos adicionais (p.ex., distâncias a estruturas/lineamentos e domínios tectonoestratigráficos), mantendo rastreabilidade.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2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Geração de mapas litológicos preditivos e produto prospectivo mineral para grafita, explicitando incertezas e limitações de extrapolação.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2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Preparação da versão final do relatório com figuras, anexos técnicos e comparação com evidências independentes (ocorrências conhecidas, checagens em campo e/ou dados geoquímicos quando disponíveis).</w:t>
      </w:r>
      <w:r>
        <w:rPr>
          <w:color w:val="000000" w:themeColor="text1"/>
          <w:sz w:val="22"/>
          <w:szCs w:val="20"/>
          <w:lang w:val="pt-BR"/>
        </w:rPr>
      </w:r>
    </w:p>
    <w:p w14:paraId="5DE6E205">
      <w:pPr>
        <w:pBdr/>
        <w:shd w:val="nil"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693"/>
        <w:pBdr/>
        <w:spacing/>
        <w:ind/>
        <w:jc w:val="both"/>
        <w:rPr>
          <w:color w:val="000000" w:themeColor="text1"/>
          <w:highlight w:val="none"/>
        </w:rPr>
      </w:pPr>
      <w:r/>
      <w:bookmarkStart w:id="13" w:name="_Toc13"/>
      <w:r>
        <w:rPr>
          <w:color w:val="000000" w:themeColor="text1"/>
          <w:lang w:val="pt-BR"/>
        </w:rPr>
        <w:t xml:space="preserve">8. Bibliografia</w:t>
      </w:r>
      <w:r>
        <w:rPr>
          <w:color w:val="000000" w:themeColor="text1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Campos Neto, M. C.; Caby, R. (2000). Terrane accretion and upward extrusion of high-pressure granulites in the Neoproterozoic nappes of southeast Brazil: petrologic and structural constraints. Tectonics, 19, 669–687.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Garci</w:t>
      </w:r>
      <w:r>
        <w:rPr>
          <w:color w:val="000000" w:themeColor="text1"/>
          <w:sz w:val="22"/>
          <w:szCs w:val="20"/>
          <w:lang w:val="pt-BR"/>
        </w:rPr>
        <w:t xml:space="preserve">a, M. G. M.; Campos Neto, M. C. (2003). Contrasting metamorphic conditions in the Neoproterozoic collision-related nappes south of São Francisco Craton, SE Brazil. Journal of South American Earth Sciences, 15(8), 853–870. doi:10.1016/S0895-9811(02)00147-5.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Vinagre, R.; Trouw, R. A. J.; Mendes, J. C.; Duffle</w:t>
      </w:r>
      <w:r>
        <w:rPr>
          <w:color w:val="000000" w:themeColor="text1"/>
          <w:sz w:val="22"/>
          <w:szCs w:val="20"/>
          <w:lang w:val="pt-BR"/>
        </w:rPr>
        <w:t xml:space="preserve">s, P.; Peternel, R.; Matos, G. (2014). New evidence of a magmatic arc in the southern Brasília Belt, Brazil: The Serra da Água Limpa Batholith (Socorro–Guaxupé Nappe). Journal of South American Earth Sciences, 54, 120–139. doi:10.1016/j.jsames.2014.05.002.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Tedeschi, M. F.; et al. (2018). Protracted zircon geochronological record of UHT garnet-free granulites in the Southern Brasília orogen (SE Brazil): petrochronological constraints on magmatism and metamorphism. Precambrian Research, 316, 103–126.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USGS (2025). Graphite (Natural). Mineral Commodity Summaries 2025.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IEA (2025). Global EV Outlook 2025 (seções sobre cadeia de baterias e minerais críticos).</w:t>
      </w:r>
      <w:r>
        <w:rPr>
          <w:color w:val="000000" w:themeColor="text1"/>
          <w:sz w:val="22"/>
          <w:szCs w:val="20"/>
          <w:lang w:val="pt-BR"/>
        </w:rPr>
      </w:r>
    </w:p>
    <w:p>
      <w:pPr>
        <w:pStyle w:val="723"/>
        <w:numPr>
          <w:ilvl w:val="0"/>
          <w:numId w:val="14"/>
        </w:numPr>
        <w:pBdr/>
        <w:spacing/>
        <w:ind/>
        <w:jc w:val="both"/>
        <w:rPr>
          <w:color w:val="000000" w:themeColor="text1"/>
          <w:sz w:val="22"/>
          <w:szCs w:val="20"/>
        </w:rPr>
      </w:pPr>
      <w:r>
        <w:rPr>
          <w:color w:val="000000" w:themeColor="text1"/>
          <w:sz w:val="22"/>
          <w:szCs w:val="20"/>
          <w:lang w:val="pt-BR"/>
        </w:rPr>
        <w:t xml:space="preserve">Serviço Geológico do Brasil (SGB/CPRM). Bases cartográficas e levantamentos aerogeofísicos utilizados na compilação (consultas e downloads).</w:t>
      </w:r>
      <w:r>
        <w:rPr>
          <w:color w:val="000000" w:themeColor="text1"/>
          <w:sz w:val="22"/>
          <w:szCs w:val="20"/>
          <w:lang w:val="pt-BR"/>
        </w:rPr>
      </w:r>
    </w:p>
    <w:sectPr>
      <w:headerReference w:type="default" r:id="rId10"/>
      <w:footnotePr/>
      <w:endnotePr/>
      <w:type w:val="nextPage"/>
      <w:pgSz w:h="16838" w:orient="portrait" w:w="11906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832F16">
    <w:pPr>
      <w:pStyle w:val="6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3F8C39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b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A828C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F57F9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8DD028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8AD5DA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jc w:val="both"/>
      <w:outlineLvl w:val="0"/>
    </w:pPr>
    <w:rPr>
      <w:rFonts w:asciiTheme="majorHAnsi" w:hAnsiTheme="majorHAnsi" w:eastAsiaTheme="majorEastAsia" w:cstheme="majorBidi"/>
      <w:b/>
      <w:bCs/>
      <w:color w:val="365f91" w:themeColor="text1"/>
      <w:sz w:val="28"/>
      <w:szCs w:val="28"/>
      <w:lang w:val="pt-BR"/>
    </w:rPr>
  </w:style>
  <w:style w:type="paragraph" w:styleId="694">
    <w:name w:val="Heading 2"/>
    <w:basedOn w:val="693"/>
    <w:next w:val="688"/>
    <w:link w:val="707"/>
    <w:uiPriority w:val="9"/>
    <w:unhideWhenUsed/>
    <w:qFormat/>
    <w:pPr>
      <w:pBdr/>
      <w:spacing/>
      <w:ind w:firstLine="0"/>
      <w:jc w:val="both"/>
    </w:pPr>
    <w:rPr>
      <w:color w:val="000000" w:themeColor="text1"/>
      <w:lang w:val="pt-BR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link w:val="693"/>
    <w:uiPriority w:val="9"/>
    <w:pPr>
      <w:pBdr/>
      <w:spacing/>
      <w:ind/>
    </w:pPr>
    <w:rPr>
      <w:color w:val="000000" w:themeColor="text1"/>
      <w:lang w:val="pt-BR"/>
    </w:rPr>
  </w:style>
  <w:style w:type="character" w:styleId="707" w:customStyle="1">
    <w:name w:val="Heading 2 Char"/>
    <w:link w:val="694"/>
    <w:uiPriority w:val="9"/>
    <w:pPr>
      <w:pBdr/>
      <w:spacing/>
      <w:ind/>
    </w:pPr>
    <w:rPr>
      <w:color w:val="000000" w:themeColor="text1"/>
      <w:lang w:val="pt-BR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/>
      <w:spacing/>
      <w:ind/>
      <w:jc w:val="center"/>
    </w:pPr>
    <w:rPr>
      <w:b/>
      <w:color w:val="000000" w:themeColor="text1"/>
      <w:sz w:val="28"/>
      <w:lang w:val="pt-BR"/>
    </w:rPr>
  </w:style>
  <w:style w:type="character" w:styleId="710" w:customStyle="1">
    <w:name w:val="Title Char"/>
    <w:link w:val="709"/>
    <w:uiPriority w:val="10"/>
    <w:pPr>
      <w:pBdr/>
      <w:spacing/>
      <w:ind/>
    </w:pPr>
    <w:rPr>
      <w:b/>
      <w:color w:val="000000" w:themeColor="text1"/>
      <w:sz w:val="28"/>
      <w:lang w:val="pt-BR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2026-01-29T01:27:37Z</dcterms:modified>
  <cp:category/>
</cp:coreProperties>
</file>