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96151" w14:textId="4C0EF89F" w:rsidR="00C672F0" w:rsidRPr="00C672F0" w:rsidRDefault="00C672F0" w:rsidP="00C672F0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Gabriel Muñoz Luna</w:t>
      </w:r>
      <w:r>
        <w:rPr>
          <w:rFonts w:ascii="Arial" w:hAnsi="Arial" w:cs="Arial"/>
          <w:sz w:val="24"/>
          <w:szCs w:val="24"/>
          <w:lang w:val="en-US"/>
        </w:rPr>
        <w:t xml:space="preserve"> - 105967744</w:t>
      </w:r>
    </w:p>
    <w:p w14:paraId="5FEDECDD" w14:textId="622879A0" w:rsidR="00C672F0" w:rsidRDefault="00C672F0" w:rsidP="00C672F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Task 6: Machine Learning 3</w:t>
      </w:r>
    </w:p>
    <w:p w14:paraId="78F3BADE" w14:textId="035E9E5C" w:rsidR="00557DCF" w:rsidRPr="00C672F0" w:rsidRDefault="00774B4A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purpose of Task C6 – Machine Learning 3 was to further enhance the forecasting system developed in C5 by improving stability, interpretability, and robustness.</w:t>
      </w:r>
      <w:r w:rsidR="00557DCF" w:rsidRPr="00C672F0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6AF76E94" w14:textId="77777777" w:rsidR="00557DCF" w:rsidRPr="00C672F0" w:rsidRDefault="00774B4A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While C5 introduced multivariate and multistep forecasting with recurrent models, this task focused on integrating an ensemble of heterogeneous models (LSTM, GRU, Bi-LSTM, Transformer) and an explainability component that reveals how each variable affects the prediction.</w:t>
      </w:r>
    </w:p>
    <w:p w14:paraId="59177591" w14:textId="0852C90B" w:rsidR="000F4974" w:rsidRPr="00C672F0" w:rsidRDefault="00774B4A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ensemble was expected to reduce model variance and increase the coefficient of determination (R²), producing smoother and more reliable multi-day forecasts.</w:t>
      </w:r>
    </w:p>
    <w:p w14:paraId="4F76ADA1" w14:textId="77777777" w:rsidR="00774B4A" w:rsidRPr="00774B4A" w:rsidRDefault="00774B4A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774B4A">
        <w:rPr>
          <w:rFonts w:ascii="Arial" w:hAnsi="Arial" w:cs="Arial"/>
          <w:sz w:val="24"/>
          <w:szCs w:val="24"/>
          <w:lang w:val="en-US"/>
        </w:rPr>
        <w:t>Two new imports were introduced at the beginning of the script to support the new functionalities:</w:t>
      </w:r>
    </w:p>
    <w:p w14:paraId="36F19AEF" w14:textId="77140221" w:rsidR="00774B4A" w:rsidRPr="00C672F0" w:rsidRDefault="00774B4A" w:rsidP="0017418B">
      <w:pPr>
        <w:pStyle w:val="Prrafodelista"/>
        <w:numPr>
          <w:ilvl w:val="1"/>
          <w:numId w:val="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from __future__ import annotations</w:t>
      </w:r>
      <w:r w:rsidRPr="00C672F0">
        <w:rPr>
          <w:rFonts w:ascii="Arial" w:hAnsi="Arial" w:cs="Arial"/>
          <w:sz w:val="24"/>
          <w:szCs w:val="24"/>
          <w:lang w:val="en-US"/>
        </w:rPr>
        <w:br/>
        <w:t>This directive modifies how Python processes type hints.</w:t>
      </w:r>
      <w:r w:rsidRPr="00C672F0">
        <w:rPr>
          <w:rFonts w:ascii="Arial" w:hAnsi="Arial" w:cs="Arial"/>
          <w:sz w:val="24"/>
          <w:szCs w:val="24"/>
          <w:lang w:val="en-US"/>
        </w:rPr>
        <w:br/>
        <w:t>It postpones their evaluation until runtime, allowing references to classes or functions that are defined later in the same file.</w:t>
      </w:r>
      <w:r w:rsidRPr="00C672F0">
        <w:rPr>
          <w:rFonts w:ascii="Arial" w:hAnsi="Arial" w:cs="Arial"/>
          <w:sz w:val="24"/>
          <w:szCs w:val="24"/>
          <w:lang w:val="en-US"/>
        </w:rPr>
        <w:br/>
        <w:t>This improves performance and avoids circular-reference errors, which is important in a large modular script such as this one.</w:t>
      </w:r>
    </w:p>
    <w:p w14:paraId="6DD19F0F" w14:textId="4BEFC8DD" w:rsidR="00774B4A" w:rsidRPr="00C672F0" w:rsidRDefault="00774B4A" w:rsidP="0017418B">
      <w:pPr>
        <w:pStyle w:val="Prrafodelista"/>
        <w:numPr>
          <w:ilvl w:val="1"/>
          <w:numId w:val="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import shap</w:t>
      </w:r>
      <w:r w:rsidRPr="00C672F0">
        <w:rPr>
          <w:rFonts w:ascii="Arial" w:hAnsi="Arial" w:cs="Arial"/>
          <w:sz w:val="24"/>
          <w:szCs w:val="24"/>
          <w:lang w:val="en-US"/>
        </w:rPr>
        <w:br/>
        <w:t>The SHAP (SHapley Additive exPlanations) library provides explainable-AI tools that quantify how much each feature contributes to a prediction.</w:t>
      </w:r>
      <w:r w:rsidRPr="00C672F0">
        <w:rPr>
          <w:rFonts w:ascii="Arial" w:hAnsi="Arial" w:cs="Arial"/>
          <w:sz w:val="24"/>
          <w:szCs w:val="24"/>
          <w:lang w:val="en-US"/>
        </w:rPr>
        <w:br/>
        <w:t>In this project, SHAP (or gradient saliency as a fallback) is used to generate feature-importance visualizations that show which input variables (e.g., close, ret1, sma5) most influenced the ensemble model’s forecasts.</w:t>
      </w:r>
    </w:p>
    <w:p w14:paraId="34404742" w14:textId="77777777" w:rsidR="002C18DB" w:rsidRPr="002C18DB" w:rsidRDefault="002C18DB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2C18DB">
        <w:rPr>
          <w:rFonts w:ascii="Arial" w:hAnsi="Arial" w:cs="Arial"/>
          <w:sz w:val="24"/>
          <w:szCs w:val="24"/>
          <w:lang w:val="en-US"/>
        </w:rPr>
        <w:t>The new pipeline combines four complementary neural architectures:</w:t>
      </w:r>
    </w:p>
    <w:p w14:paraId="20FA782F" w14:textId="382AFB46" w:rsidR="002C18DB" w:rsidRPr="00C672F0" w:rsidRDefault="002C18DB" w:rsidP="0017418B">
      <w:pPr>
        <w:pStyle w:val="Prrafodelista"/>
        <w:numPr>
          <w:ilvl w:val="1"/>
          <w:numId w:val="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LSTM, GRU, and Bi-LSTM models (from previous tasks) trained on the same lookback and horizon.</w:t>
      </w:r>
    </w:p>
    <w:p w14:paraId="43E1684F" w14:textId="31332972" w:rsidR="002C18DB" w:rsidRPr="00C672F0" w:rsidRDefault="002C18DB" w:rsidP="0017418B">
      <w:pPr>
        <w:pStyle w:val="Prrafodelista"/>
        <w:numPr>
          <w:ilvl w:val="1"/>
          <w:numId w:val="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A new Transformer-based attention model built with MultiHeadAttention and LayerNormalization layers to capture global temporal dependencies.</w:t>
      </w:r>
    </w:p>
    <w:p w14:paraId="396B723F" w14:textId="0B70AF22" w:rsidR="002C18DB" w:rsidRPr="00C672F0" w:rsidRDefault="002C18DB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2C18DB">
        <w:rPr>
          <w:rFonts w:ascii="Arial" w:hAnsi="Arial" w:cs="Arial"/>
          <w:sz w:val="24"/>
          <w:szCs w:val="24"/>
          <w:lang w:val="en-US"/>
        </w:rPr>
        <w:t>Each model is trained independently with the same training and validation sets.</w:t>
      </w:r>
    </w:p>
    <w:p w14:paraId="0762E057" w14:textId="77777777" w:rsidR="00557DCF" w:rsidRPr="00C672F0" w:rsidRDefault="002C18DB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2C18DB">
        <w:rPr>
          <w:rFonts w:ascii="Arial" w:hAnsi="Arial" w:cs="Arial"/>
          <w:sz w:val="24"/>
          <w:szCs w:val="24"/>
          <w:lang w:val="en-US"/>
        </w:rPr>
        <w:lastRenderedPageBreak/>
        <w:t>To complement the quantitative evaluation, an explainability module was integrated.</w:t>
      </w:r>
    </w:p>
    <w:p w14:paraId="32A3612C" w14:textId="6C836266" w:rsidR="002C18DB" w:rsidRPr="002C18DB" w:rsidRDefault="002C18DB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2C18DB">
        <w:rPr>
          <w:rFonts w:ascii="Arial" w:hAnsi="Arial" w:cs="Arial"/>
          <w:sz w:val="24"/>
          <w:szCs w:val="24"/>
          <w:lang w:val="en-US"/>
        </w:rPr>
        <w:t>It first attempts to compute SHAP values for a small validation batch; if SHAP cannot initialize (due to tensor format restrictions), it automatically switches to a gradient-based saliency method using TensorFlow’s GradientTape.</w:t>
      </w:r>
      <w:r w:rsidRPr="002C18DB">
        <w:rPr>
          <w:rFonts w:ascii="Arial" w:hAnsi="Arial" w:cs="Arial"/>
          <w:sz w:val="24"/>
          <w:szCs w:val="24"/>
          <w:lang w:val="en-US"/>
        </w:rPr>
        <w:br/>
        <w:t>The absolute mean of these gradients across time and features provides a practical feature-importance map.</w:t>
      </w:r>
    </w:p>
    <w:p w14:paraId="40D3A828" w14:textId="77777777" w:rsidR="002C18DB" w:rsidRPr="002C18DB" w:rsidRDefault="002C18DB" w:rsidP="00557DCF">
      <w:pPr>
        <w:spacing w:line="276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2C18DB">
        <w:rPr>
          <w:rFonts w:ascii="Arial" w:hAnsi="Arial" w:cs="Arial"/>
          <w:sz w:val="24"/>
          <w:szCs w:val="24"/>
          <w:lang w:val="en-US"/>
        </w:rPr>
        <w:t>Finally, the ensemble output and explanation results are visualized through:</w:t>
      </w:r>
    </w:p>
    <w:p w14:paraId="12E6D1D6" w14:textId="649DA70D" w:rsidR="002C18DB" w:rsidRPr="00C672F0" w:rsidRDefault="002C18DB" w:rsidP="0017418B">
      <w:pPr>
        <w:pStyle w:val="Prrafodelista"/>
        <w:numPr>
          <w:ilvl w:val="1"/>
          <w:numId w:val="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plot_ensemble_predictions() → ensemble mean vs. real price with ±1 </w:t>
      </w:r>
      <w:r w:rsidRPr="00C672F0">
        <w:rPr>
          <w:rFonts w:ascii="Arial" w:hAnsi="Arial" w:cs="Arial"/>
          <w:sz w:val="24"/>
          <w:szCs w:val="24"/>
        </w:rPr>
        <w:t>σ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band.</w:t>
      </w:r>
    </w:p>
    <w:p w14:paraId="3C0CC746" w14:textId="56319E4E" w:rsidR="002C18DB" w:rsidRPr="00C672F0" w:rsidRDefault="002C18DB" w:rsidP="0017418B">
      <w:pPr>
        <w:pStyle w:val="Prrafodelista"/>
        <w:numPr>
          <w:ilvl w:val="1"/>
          <w:numId w:val="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plot_feature_importance() → mean contribution of each feature.</w:t>
      </w:r>
    </w:p>
    <w:p w14:paraId="46552A07" w14:textId="39043533" w:rsidR="002C18DB" w:rsidRPr="00C672F0" w:rsidRDefault="00557DCF" w:rsidP="00557DC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following new functions were added for this task:</w:t>
      </w:r>
    </w:p>
    <w:p w14:paraId="0FDBADF3" w14:textId="41C3ECE2" w:rsidR="00557DCF" w:rsidRPr="00C672F0" w:rsidRDefault="00557DCF" w:rsidP="00557DCF">
      <w:pPr>
        <w:rPr>
          <w:rFonts w:ascii="Arial" w:hAnsi="Arial" w:cs="Arial"/>
          <w:sz w:val="24"/>
          <w:szCs w:val="24"/>
        </w:rPr>
      </w:pPr>
      <w:r w:rsidRPr="00557DCF">
        <w:rPr>
          <w:rFonts w:ascii="Arial" w:hAnsi="Arial" w:cs="Arial"/>
          <w:sz w:val="24"/>
          <w:szCs w:val="24"/>
        </w:rPr>
        <w:t>r2_score_np</w:t>
      </w:r>
      <w:r w:rsidRPr="00C672F0">
        <w:rPr>
          <w:rFonts w:ascii="Arial" w:hAnsi="Arial" w:cs="Arial"/>
          <w:sz w:val="24"/>
          <w:szCs w:val="24"/>
        </w:rPr>
        <w:t>()</w:t>
      </w:r>
    </w:p>
    <w:p w14:paraId="44AEC9E1" w14:textId="3D34BF70" w:rsidR="00557DCF" w:rsidRPr="00C672F0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A0F7BE" wp14:editId="243243CB">
            <wp:extent cx="3960056" cy="1085229"/>
            <wp:effectExtent l="0" t="0" r="2540" b="635"/>
            <wp:docPr id="284491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91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9185" cy="10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919" w14:textId="12B7B48A" w:rsidR="00557DCF" w:rsidRPr="00C672F0" w:rsidRDefault="00557DCF" w:rsidP="00557DCF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Calculates the R² coefficient to quantify how well the ensemble explains the price variance.</w:t>
      </w:r>
    </w:p>
    <w:p w14:paraId="710C450A" w14:textId="498F939E" w:rsidR="00557DCF" w:rsidRPr="00C672F0" w:rsidRDefault="00557DCF" w:rsidP="00557DCF">
      <w:pPr>
        <w:rPr>
          <w:rFonts w:ascii="Arial" w:hAnsi="Arial" w:cs="Arial"/>
          <w:sz w:val="24"/>
          <w:szCs w:val="24"/>
        </w:rPr>
      </w:pPr>
      <w:r w:rsidRPr="00557DCF">
        <w:rPr>
          <w:rFonts w:ascii="Arial" w:hAnsi="Arial" w:cs="Arial"/>
          <w:sz w:val="24"/>
          <w:szCs w:val="24"/>
        </w:rPr>
        <w:t>_transformer_encoder_block</w:t>
      </w:r>
      <w:r w:rsidRPr="00C672F0">
        <w:rPr>
          <w:rFonts w:ascii="Arial" w:hAnsi="Arial" w:cs="Arial"/>
          <w:sz w:val="24"/>
          <w:szCs w:val="24"/>
        </w:rPr>
        <w:t>()</w:t>
      </w:r>
    </w:p>
    <w:p w14:paraId="501F7D6B" w14:textId="0F8DA9B3" w:rsidR="00557DCF" w:rsidRPr="00C672F0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B3F039" wp14:editId="3D9E9B7F">
            <wp:extent cx="3981157" cy="1188311"/>
            <wp:effectExtent l="0" t="0" r="635" b="0"/>
            <wp:docPr id="5669035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352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195" cy="11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45D0" w14:textId="59D16358" w:rsidR="00557DCF" w:rsidRPr="00C672F0" w:rsidRDefault="00557DCF" w:rsidP="00557DCF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Implements one encoder block (Multi-Head Attention + Feed-Forward Network + residual + LayerNorm).</w:t>
      </w:r>
    </w:p>
    <w:p w14:paraId="28E1F239" w14:textId="625FF4D8" w:rsidR="00557DCF" w:rsidRPr="00C672F0" w:rsidRDefault="00557DCF" w:rsidP="00557DCF">
      <w:pPr>
        <w:rPr>
          <w:rFonts w:ascii="Arial" w:hAnsi="Arial" w:cs="Arial"/>
          <w:sz w:val="24"/>
          <w:szCs w:val="24"/>
        </w:rPr>
      </w:pPr>
      <w:r w:rsidRPr="0076038C">
        <w:rPr>
          <w:rFonts w:ascii="Arial" w:hAnsi="Arial" w:cs="Arial"/>
          <w:sz w:val="24"/>
          <w:szCs w:val="24"/>
          <w:lang w:val="en-US"/>
        </w:rPr>
        <w:t> </w:t>
      </w:r>
      <w:r w:rsidRPr="00557DCF">
        <w:rPr>
          <w:rFonts w:ascii="Arial" w:hAnsi="Arial" w:cs="Arial"/>
          <w:sz w:val="24"/>
          <w:szCs w:val="24"/>
        </w:rPr>
        <w:t>build_attention_model</w:t>
      </w:r>
      <w:r w:rsidRPr="00C672F0">
        <w:rPr>
          <w:rFonts w:ascii="Arial" w:hAnsi="Arial" w:cs="Arial"/>
          <w:sz w:val="24"/>
          <w:szCs w:val="24"/>
        </w:rPr>
        <w:t>()</w:t>
      </w:r>
    </w:p>
    <w:p w14:paraId="519E30E1" w14:textId="206F3FF6" w:rsidR="00557DCF" w:rsidRPr="00557DCF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F5714B" wp14:editId="3DCD149D">
            <wp:extent cx="4128868" cy="2426493"/>
            <wp:effectExtent l="0" t="0" r="5080" b="0"/>
            <wp:docPr id="2213408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081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254" cy="24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72C" w14:textId="7BBC51FF" w:rsidR="00557DCF" w:rsidRPr="00C672F0" w:rsidRDefault="00557DCF" w:rsidP="00557DCF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Builds and compiles a lightweight Transformer model for multivariate multistep forecasting.</w:t>
      </w:r>
    </w:p>
    <w:p w14:paraId="02625858" w14:textId="35F7A168" w:rsidR="00557DCF" w:rsidRPr="00C672F0" w:rsidRDefault="00557DCF" w:rsidP="00557DCF">
      <w:pPr>
        <w:rPr>
          <w:rFonts w:ascii="Arial" w:hAnsi="Arial" w:cs="Arial"/>
          <w:sz w:val="24"/>
          <w:szCs w:val="24"/>
        </w:rPr>
      </w:pPr>
      <w:r w:rsidRPr="00557DCF">
        <w:rPr>
          <w:rFonts w:ascii="Arial" w:hAnsi="Arial" w:cs="Arial"/>
          <w:sz w:val="24"/>
          <w:szCs w:val="24"/>
        </w:rPr>
        <w:t>fit_single_model</w:t>
      </w:r>
      <w:r w:rsidRPr="00C672F0">
        <w:rPr>
          <w:rFonts w:ascii="Arial" w:hAnsi="Arial" w:cs="Arial"/>
          <w:sz w:val="24"/>
          <w:szCs w:val="24"/>
        </w:rPr>
        <w:t xml:space="preserve"> ()</w:t>
      </w:r>
    </w:p>
    <w:p w14:paraId="2EEEAC55" w14:textId="7AFC8B7C" w:rsidR="00557DCF" w:rsidRPr="00C672F0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800124" wp14:editId="293AB137">
            <wp:extent cx="3798277" cy="1424246"/>
            <wp:effectExtent l="0" t="0" r="0" b="5080"/>
            <wp:docPr id="11623651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517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607" cy="14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53FB" w14:textId="2A5BB6EC" w:rsidR="00557DCF" w:rsidRPr="00557DCF" w:rsidRDefault="00557DCF" w:rsidP="00557DCF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Trains a single model with early stopping and validation monitoring.</w:t>
      </w:r>
    </w:p>
    <w:p w14:paraId="60224376" w14:textId="3DE19B54" w:rsidR="00774B4A" w:rsidRPr="00C672F0" w:rsidRDefault="00557DCF">
      <w:pPr>
        <w:rPr>
          <w:rFonts w:ascii="Arial" w:hAnsi="Arial" w:cs="Arial"/>
          <w:sz w:val="24"/>
          <w:szCs w:val="24"/>
        </w:rPr>
      </w:pPr>
      <w:r w:rsidRPr="00557DCF">
        <w:rPr>
          <w:rFonts w:ascii="Arial" w:hAnsi="Arial" w:cs="Arial"/>
          <w:sz w:val="24"/>
          <w:szCs w:val="24"/>
        </w:rPr>
        <w:t>build_ensemble_models</w:t>
      </w:r>
      <w:r w:rsidRPr="00C672F0">
        <w:rPr>
          <w:rFonts w:ascii="Arial" w:hAnsi="Arial" w:cs="Arial"/>
          <w:sz w:val="24"/>
          <w:szCs w:val="24"/>
        </w:rPr>
        <w:t>()</w:t>
      </w:r>
    </w:p>
    <w:p w14:paraId="01090016" w14:textId="03A1A46A" w:rsidR="00557DCF" w:rsidRPr="00C672F0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2D3106" wp14:editId="3F3B7BFE">
            <wp:extent cx="3650566" cy="2224706"/>
            <wp:effectExtent l="0" t="0" r="7620" b="4445"/>
            <wp:docPr id="17506384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8442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197" cy="22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2CE7" w14:textId="792AF6C4" w:rsidR="00557DCF" w:rsidRPr="00C672F0" w:rsidRDefault="00557DCF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Trains LSTM, GRU, Bi-LSTM and Transformer models, aggregates their predictions by mean ± standard deviation.</w:t>
      </w:r>
    </w:p>
    <w:p w14:paraId="59E65EAE" w14:textId="6E826880" w:rsidR="00557DCF" w:rsidRPr="00C672F0" w:rsidRDefault="00557DCF">
      <w:pPr>
        <w:rPr>
          <w:rFonts w:ascii="Arial" w:hAnsi="Arial" w:cs="Arial"/>
          <w:sz w:val="24"/>
          <w:szCs w:val="24"/>
        </w:rPr>
      </w:pPr>
      <w:r w:rsidRPr="00557DCF">
        <w:rPr>
          <w:rFonts w:ascii="Arial" w:hAnsi="Arial" w:cs="Arial"/>
          <w:sz w:val="24"/>
          <w:szCs w:val="24"/>
        </w:rPr>
        <w:lastRenderedPageBreak/>
        <w:t>evaluate_ensemble</w:t>
      </w:r>
      <w:r w:rsidRPr="00C672F0">
        <w:rPr>
          <w:rFonts w:ascii="Arial" w:hAnsi="Arial" w:cs="Arial"/>
          <w:sz w:val="24"/>
          <w:szCs w:val="24"/>
        </w:rPr>
        <w:t xml:space="preserve"> ()</w:t>
      </w:r>
    </w:p>
    <w:p w14:paraId="5B62FC8E" w14:textId="5EC4A067" w:rsidR="00557DCF" w:rsidRPr="00C672F0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4A8834" wp14:editId="4459C481">
            <wp:extent cx="3221502" cy="703861"/>
            <wp:effectExtent l="0" t="0" r="0" b="1270"/>
            <wp:docPr id="930136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36272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120" cy="7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2710" w14:textId="17124A12" w:rsidR="00557DCF" w:rsidRPr="00C672F0" w:rsidRDefault="00557DCF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Evaluates ensemble performance (RMSE, MAE, MAPE, R², prediction variance).</w:t>
      </w:r>
    </w:p>
    <w:p w14:paraId="4425F8C1" w14:textId="5CCEF47D" w:rsidR="00557DCF" w:rsidRPr="00C672F0" w:rsidRDefault="00557DCF">
      <w:pPr>
        <w:rPr>
          <w:rFonts w:ascii="Arial" w:hAnsi="Arial" w:cs="Arial"/>
          <w:sz w:val="24"/>
          <w:szCs w:val="24"/>
        </w:rPr>
      </w:pPr>
      <w:r w:rsidRPr="00557DCF">
        <w:rPr>
          <w:rFonts w:ascii="Arial" w:hAnsi="Arial" w:cs="Arial"/>
          <w:sz w:val="24"/>
          <w:szCs w:val="24"/>
        </w:rPr>
        <w:t>explain_predictions</w:t>
      </w:r>
      <w:r w:rsidRPr="00C672F0">
        <w:rPr>
          <w:rFonts w:ascii="Arial" w:hAnsi="Arial" w:cs="Arial"/>
          <w:sz w:val="24"/>
          <w:szCs w:val="24"/>
        </w:rPr>
        <w:t xml:space="preserve"> ()</w:t>
      </w:r>
    </w:p>
    <w:p w14:paraId="5D099E7F" w14:textId="33096074" w:rsidR="00557DCF" w:rsidRPr="00C672F0" w:rsidRDefault="00557DCF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C60295" wp14:editId="0DF66817">
            <wp:extent cx="3362179" cy="1706197"/>
            <wp:effectExtent l="0" t="0" r="0" b="8890"/>
            <wp:docPr id="11186277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777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033" cy="17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56D37" w:rsidRPr="00356D37" w14:paraId="2D14650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10A49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27423C6" w14:textId="77777777" w:rsidR="00356D37" w:rsidRPr="00356D37" w:rsidRDefault="00356D37" w:rsidP="00356D37">
      <w:pPr>
        <w:rPr>
          <w:rFonts w:ascii="Arial" w:hAnsi="Arial" w:cs="Arial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5"/>
      </w:tblGrid>
      <w:tr w:rsidR="00356D37" w:rsidRPr="00D33924" w14:paraId="08D885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D03D3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56D37">
              <w:rPr>
                <w:rFonts w:ascii="Arial" w:hAnsi="Arial" w:cs="Arial"/>
                <w:sz w:val="24"/>
                <w:szCs w:val="24"/>
                <w:lang w:val="en-US"/>
              </w:rPr>
              <w:t>Generates SHAP or gradient-based feature-importance values for explainability.</w:t>
            </w:r>
          </w:p>
        </w:tc>
      </w:tr>
    </w:tbl>
    <w:p w14:paraId="65ECC365" w14:textId="24FF4DE9" w:rsidR="00356D37" w:rsidRPr="00C672F0" w:rsidRDefault="00356D37" w:rsidP="00356D37">
      <w:pPr>
        <w:rPr>
          <w:rFonts w:ascii="Arial" w:hAnsi="Arial" w:cs="Arial"/>
          <w:sz w:val="24"/>
          <w:szCs w:val="24"/>
        </w:rPr>
      </w:pPr>
      <w:r w:rsidRPr="00356D37">
        <w:rPr>
          <w:rFonts w:ascii="Arial" w:hAnsi="Arial" w:cs="Arial"/>
          <w:sz w:val="24"/>
          <w:szCs w:val="24"/>
        </w:rPr>
        <w:t>plot_ensemble_predictions</w:t>
      </w:r>
      <w:r w:rsidRPr="00C672F0">
        <w:rPr>
          <w:rFonts w:ascii="Arial" w:hAnsi="Arial" w:cs="Arial"/>
          <w:sz w:val="24"/>
          <w:szCs w:val="24"/>
        </w:rPr>
        <w:t>()</w:t>
      </w:r>
    </w:p>
    <w:p w14:paraId="0829D16C" w14:textId="6AD2EA14" w:rsidR="00356D37" w:rsidRPr="00C672F0" w:rsidRDefault="00356D37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6AE5E5" wp14:editId="6DDD7A1E">
            <wp:extent cx="3611661" cy="1026941"/>
            <wp:effectExtent l="0" t="0" r="8255" b="1905"/>
            <wp:docPr id="16738989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9894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768" cy="10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CE08" w14:textId="048A373E" w:rsidR="00356D37" w:rsidRPr="00C672F0" w:rsidRDefault="00356D37" w:rsidP="00356D37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Plots actual vs. ensemble forecast with a ±1 </w:t>
      </w:r>
      <w:r w:rsidRPr="00C672F0">
        <w:rPr>
          <w:rFonts w:ascii="Arial" w:hAnsi="Arial" w:cs="Arial"/>
          <w:sz w:val="24"/>
          <w:szCs w:val="24"/>
        </w:rPr>
        <w:t>σ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band.</w:t>
      </w:r>
    </w:p>
    <w:p w14:paraId="5FA0BC1B" w14:textId="7050DBFD" w:rsidR="00356D37" w:rsidRPr="00C672F0" w:rsidRDefault="00356D37" w:rsidP="00356D37">
      <w:pPr>
        <w:rPr>
          <w:rFonts w:ascii="Arial" w:hAnsi="Arial" w:cs="Arial"/>
          <w:sz w:val="24"/>
          <w:szCs w:val="24"/>
        </w:rPr>
      </w:pPr>
      <w:r w:rsidRPr="00356D37">
        <w:rPr>
          <w:rFonts w:ascii="Arial" w:hAnsi="Arial" w:cs="Arial"/>
          <w:sz w:val="24"/>
          <w:szCs w:val="24"/>
        </w:rPr>
        <w:t>plot_feature_importance</w:t>
      </w:r>
      <w:r w:rsidRPr="00C672F0">
        <w:rPr>
          <w:rFonts w:ascii="Arial" w:hAnsi="Arial" w:cs="Arial"/>
          <w:sz w:val="24"/>
          <w:szCs w:val="24"/>
        </w:rPr>
        <w:t xml:space="preserve"> ()</w:t>
      </w:r>
    </w:p>
    <w:p w14:paraId="4DD3C92F" w14:textId="5A33CB99" w:rsidR="00356D37" w:rsidRPr="00C672F0" w:rsidRDefault="00356D37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6A538" wp14:editId="15A744AE">
            <wp:extent cx="3606267" cy="1181687"/>
            <wp:effectExtent l="0" t="0" r="0" b="0"/>
            <wp:docPr id="17104319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190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302" cy="11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27AA" w14:textId="643A0533" w:rsidR="00356D37" w:rsidRPr="00C672F0" w:rsidRDefault="00356D37" w:rsidP="00356D37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Displays mean importance of each feature as a bar chart.</w:t>
      </w:r>
    </w:p>
    <w:p w14:paraId="03BD72F3" w14:textId="6AFD40C9" w:rsidR="00356D37" w:rsidRPr="00C672F0" w:rsidRDefault="00356D37" w:rsidP="00356D37">
      <w:pPr>
        <w:rPr>
          <w:rFonts w:ascii="Arial" w:hAnsi="Arial" w:cs="Arial"/>
          <w:sz w:val="24"/>
          <w:szCs w:val="24"/>
        </w:rPr>
      </w:pPr>
      <w:r w:rsidRPr="00356D37">
        <w:rPr>
          <w:rFonts w:ascii="Arial" w:hAnsi="Arial" w:cs="Arial"/>
          <w:sz w:val="24"/>
          <w:szCs w:val="24"/>
        </w:rPr>
        <w:t>train_incremental_model</w:t>
      </w:r>
      <w:r w:rsidRPr="00C672F0">
        <w:rPr>
          <w:rFonts w:ascii="Arial" w:hAnsi="Arial" w:cs="Arial"/>
          <w:sz w:val="24"/>
          <w:szCs w:val="24"/>
        </w:rPr>
        <w:t xml:space="preserve"> ()</w:t>
      </w:r>
    </w:p>
    <w:p w14:paraId="177F95E8" w14:textId="17461CA4" w:rsidR="00356D37" w:rsidRPr="00C672F0" w:rsidRDefault="00356D37" w:rsidP="00356D37">
      <w:pPr>
        <w:jc w:val="center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C58782" wp14:editId="1C97D255">
            <wp:extent cx="3749040" cy="824212"/>
            <wp:effectExtent l="0" t="0" r="3810" b="0"/>
            <wp:docPr id="20020684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840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950" cy="8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A280" w14:textId="602B057B" w:rsidR="00356D37" w:rsidRPr="00C672F0" w:rsidRDefault="00356D37" w:rsidP="00356D37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Performs fine-tuning on new data to simulate incremental/online learning.</w:t>
      </w:r>
    </w:p>
    <w:p w14:paraId="26064AA0" w14:textId="08311FA5" w:rsidR="00356D37" w:rsidRPr="00C672F0" w:rsidRDefault="00356D37" w:rsidP="00356D37">
      <w:pPr>
        <w:rPr>
          <w:rFonts w:ascii="Arial" w:hAnsi="Arial" w:cs="Arial"/>
          <w:sz w:val="24"/>
          <w:szCs w:val="24"/>
        </w:rPr>
      </w:pPr>
      <w:r w:rsidRPr="00356D37">
        <w:rPr>
          <w:rFonts w:ascii="Arial" w:hAnsi="Arial" w:cs="Arial"/>
          <w:sz w:val="24"/>
          <w:szCs w:val="24"/>
        </w:rPr>
        <w:t>run_c6_experiment</w:t>
      </w:r>
      <w:r w:rsidRPr="00C672F0">
        <w:rPr>
          <w:rFonts w:ascii="Arial" w:hAnsi="Arial" w:cs="Arial"/>
          <w:sz w:val="24"/>
          <w:szCs w:val="24"/>
        </w:rPr>
        <w:t>()</w:t>
      </w:r>
    </w:p>
    <w:p w14:paraId="24797646" w14:textId="316DA5DF" w:rsidR="00356D37" w:rsidRPr="00C672F0" w:rsidRDefault="00356D37" w:rsidP="00356D37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895735" wp14:editId="47DE44DA">
            <wp:extent cx="3806648" cy="3530991"/>
            <wp:effectExtent l="0" t="0" r="3810" b="0"/>
            <wp:docPr id="16796420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203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727" cy="35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11A1" w14:textId="2D14B318" w:rsidR="00356D37" w:rsidRPr="00356D37" w:rsidRDefault="00356D37" w:rsidP="00356D37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Main pipeline: prepares data, trains ensemble, evaluates metrics, explains results, and saves plots.</w:t>
      </w:r>
    </w:p>
    <w:p w14:paraId="1ACBD89F" w14:textId="2890D9A9" w:rsidR="00356D37" w:rsidRPr="00C672F0" w:rsidRDefault="00356D37" w:rsidP="00356D37">
      <w:pPr>
        <w:ind w:firstLine="708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ensemble was trained using the same AAPL dataset (2020–2023) with a 60-day lookback and 5-day forecast horizon.</w:t>
      </w:r>
      <w:r w:rsidRPr="00C672F0">
        <w:rPr>
          <w:rFonts w:ascii="Arial" w:hAnsi="Arial" w:cs="Arial"/>
          <w:sz w:val="24"/>
          <w:szCs w:val="24"/>
          <w:lang w:val="en-US"/>
        </w:rPr>
        <w:br/>
        <w:t>Training logs confirm successful convergence for all models, including the Transformer.</w:t>
      </w:r>
      <w:r w:rsidRPr="00C672F0">
        <w:rPr>
          <w:rFonts w:ascii="Arial" w:hAnsi="Arial" w:cs="Arial"/>
          <w:sz w:val="24"/>
          <w:szCs w:val="24"/>
          <w:lang w:val="en-US"/>
        </w:rPr>
        <w:br/>
      </w:r>
      <w:r w:rsidRPr="00C672F0">
        <w:rPr>
          <w:rFonts w:ascii="Arial" w:hAnsi="Arial" w:cs="Arial"/>
          <w:sz w:val="24"/>
          <w:szCs w:val="24"/>
        </w:rPr>
        <w:t>The results were: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17"/>
        <w:gridCol w:w="830"/>
      </w:tblGrid>
      <w:tr w:rsidR="00356D37" w:rsidRPr="00356D37" w14:paraId="387271D7" w14:textId="77777777" w:rsidTr="00356D37">
        <w:trPr>
          <w:jc w:val="center"/>
        </w:trPr>
        <w:tc>
          <w:tcPr>
            <w:tcW w:w="0" w:type="auto"/>
            <w:hideMark/>
          </w:tcPr>
          <w:p w14:paraId="6FA0D2C0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Metric</w:t>
            </w:r>
          </w:p>
        </w:tc>
        <w:tc>
          <w:tcPr>
            <w:tcW w:w="0" w:type="auto"/>
            <w:hideMark/>
          </w:tcPr>
          <w:p w14:paraId="07C1FF79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Value</w:t>
            </w:r>
          </w:p>
        </w:tc>
      </w:tr>
      <w:tr w:rsidR="00356D37" w:rsidRPr="00356D37" w14:paraId="33C1BBED" w14:textId="77777777" w:rsidTr="00356D37">
        <w:trPr>
          <w:jc w:val="center"/>
        </w:trPr>
        <w:tc>
          <w:tcPr>
            <w:tcW w:w="0" w:type="auto"/>
            <w:hideMark/>
          </w:tcPr>
          <w:p w14:paraId="19861761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RMSE</w:t>
            </w:r>
          </w:p>
        </w:tc>
        <w:tc>
          <w:tcPr>
            <w:tcW w:w="0" w:type="auto"/>
            <w:hideMark/>
          </w:tcPr>
          <w:p w14:paraId="483BA8A6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5.47</w:t>
            </w:r>
          </w:p>
        </w:tc>
      </w:tr>
      <w:tr w:rsidR="00356D37" w:rsidRPr="00356D37" w14:paraId="6763ED7E" w14:textId="77777777" w:rsidTr="00356D37">
        <w:trPr>
          <w:jc w:val="center"/>
        </w:trPr>
        <w:tc>
          <w:tcPr>
            <w:tcW w:w="0" w:type="auto"/>
            <w:hideMark/>
          </w:tcPr>
          <w:p w14:paraId="2A5341D9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MAE</w:t>
            </w:r>
          </w:p>
        </w:tc>
        <w:tc>
          <w:tcPr>
            <w:tcW w:w="0" w:type="auto"/>
            <w:hideMark/>
          </w:tcPr>
          <w:p w14:paraId="5711F800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4.27</w:t>
            </w:r>
          </w:p>
        </w:tc>
      </w:tr>
      <w:tr w:rsidR="00356D37" w:rsidRPr="00356D37" w14:paraId="18FBC11E" w14:textId="77777777" w:rsidTr="00356D37">
        <w:trPr>
          <w:jc w:val="center"/>
        </w:trPr>
        <w:tc>
          <w:tcPr>
            <w:tcW w:w="0" w:type="auto"/>
            <w:hideMark/>
          </w:tcPr>
          <w:p w14:paraId="7F9ADE46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MAPE (%)</w:t>
            </w:r>
          </w:p>
        </w:tc>
        <w:tc>
          <w:tcPr>
            <w:tcW w:w="0" w:type="auto"/>
            <w:hideMark/>
          </w:tcPr>
          <w:p w14:paraId="734E2C05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2.89</w:t>
            </w:r>
          </w:p>
        </w:tc>
      </w:tr>
      <w:tr w:rsidR="00356D37" w:rsidRPr="00356D37" w14:paraId="00A68761" w14:textId="77777777" w:rsidTr="00356D37">
        <w:trPr>
          <w:jc w:val="center"/>
        </w:trPr>
        <w:tc>
          <w:tcPr>
            <w:tcW w:w="0" w:type="auto"/>
            <w:hideMark/>
          </w:tcPr>
          <w:p w14:paraId="0D2C54C6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R²</w:t>
            </w:r>
          </w:p>
        </w:tc>
        <w:tc>
          <w:tcPr>
            <w:tcW w:w="0" w:type="auto"/>
            <w:hideMark/>
          </w:tcPr>
          <w:p w14:paraId="78BCDE3B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0.77</w:t>
            </w:r>
          </w:p>
        </w:tc>
      </w:tr>
      <w:tr w:rsidR="00356D37" w:rsidRPr="00356D37" w14:paraId="37F53789" w14:textId="77777777" w:rsidTr="00356D37">
        <w:trPr>
          <w:jc w:val="center"/>
        </w:trPr>
        <w:tc>
          <w:tcPr>
            <w:tcW w:w="0" w:type="auto"/>
            <w:hideMark/>
          </w:tcPr>
          <w:p w14:paraId="0FA45727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Mean Pred Std</w:t>
            </w:r>
          </w:p>
        </w:tc>
        <w:tc>
          <w:tcPr>
            <w:tcW w:w="0" w:type="auto"/>
            <w:hideMark/>
          </w:tcPr>
          <w:p w14:paraId="2EB02E84" w14:textId="77777777" w:rsidR="00356D37" w:rsidRPr="00356D37" w:rsidRDefault="00356D37" w:rsidP="00356D37">
            <w:pPr>
              <w:rPr>
                <w:rFonts w:ascii="Arial" w:hAnsi="Arial" w:cs="Arial"/>
                <w:sz w:val="24"/>
                <w:szCs w:val="24"/>
              </w:rPr>
            </w:pPr>
            <w:r w:rsidRPr="00356D37">
              <w:rPr>
                <w:rFonts w:ascii="Arial" w:hAnsi="Arial" w:cs="Arial"/>
                <w:sz w:val="24"/>
                <w:szCs w:val="24"/>
              </w:rPr>
              <w:t>0.64</w:t>
            </w:r>
          </w:p>
        </w:tc>
      </w:tr>
    </w:tbl>
    <w:p w14:paraId="51838122" w14:textId="6281D2EB" w:rsidR="00356D37" w:rsidRPr="00C672F0" w:rsidRDefault="00D6050F" w:rsidP="00356D37">
      <w:pPr>
        <w:ind w:firstLine="708"/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856E65" wp14:editId="460A5FF0">
            <wp:extent cx="5612130" cy="252095"/>
            <wp:effectExtent l="0" t="0" r="7620" b="0"/>
            <wp:docPr id="1487671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1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0708" w14:textId="15C1CDA8" w:rsidR="00356D37" w:rsidRPr="00C672F0" w:rsidRDefault="00356D37" w:rsidP="00356D37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lastRenderedPageBreak/>
        <w:t>These metrics match the expected range from Task C5, but the ensemble and attention improved stability: R² rose and the uncertainty band remained consistent across horizons.</w:t>
      </w:r>
    </w:p>
    <w:p w14:paraId="57442ABD" w14:textId="40ED7A1E" w:rsidR="00356D37" w:rsidRPr="00C672F0" w:rsidRDefault="00D6050F" w:rsidP="00D6050F">
      <w:pPr>
        <w:ind w:firstLine="708"/>
        <w:jc w:val="center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72B48D" wp14:editId="09C21F78">
            <wp:extent cx="3341077" cy="2510155"/>
            <wp:effectExtent l="0" t="0" r="0" b="4445"/>
            <wp:docPr id="178026193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61930" name="Imagen 1" descr="Gráfico, Gráfico de línea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07" cy="25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3F6" w14:textId="77777777" w:rsidR="00D6050F" w:rsidRPr="00C672F0" w:rsidRDefault="00D6050F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plot above shows the five-day forecast generated by the ensemble of LSTM, GRU, Bi-LSTM, and Transformer models.</w:t>
      </w:r>
    </w:p>
    <w:p w14:paraId="3AAA8F5D" w14:textId="77777777" w:rsidR="00D6050F" w:rsidRPr="00C672F0" w:rsidRDefault="00D6050F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blue line represents the actual average closing price over the forecast horizon, while the orange line indicates the ensemble’s predicted mean.</w:t>
      </w:r>
    </w:p>
    <w:p w14:paraId="0D867AD6" w14:textId="77777777" w:rsidR="00D6050F" w:rsidRPr="00C672F0" w:rsidRDefault="00D6050F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shaded blue band corresponds to the ± 1 standard-deviation interval, capturing the spread of predictions among the individual models.</w:t>
      </w:r>
    </w:p>
    <w:p w14:paraId="71796468" w14:textId="77777777" w:rsidR="00D6050F" w:rsidRPr="00C672F0" w:rsidRDefault="00D6050F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Most of the real values remain within this confidence region, demonstrating that the ensemble provides consistent and stable short-term forecasts.</w:t>
      </w:r>
    </w:p>
    <w:p w14:paraId="20FD7160" w14:textId="3975A64B" w:rsidR="00D6050F" w:rsidRPr="00C672F0" w:rsidRDefault="00D6050F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The smoothness of the orange curve also evidences the variance-reduction effect achieved by averaging multiple architectures.</w:t>
      </w:r>
    </w:p>
    <w:p w14:paraId="0CEF4790" w14:textId="42B4CF15" w:rsidR="00356D37" w:rsidRPr="00C672F0" w:rsidRDefault="00D6050F" w:rsidP="00D6050F">
      <w:pPr>
        <w:ind w:firstLine="708"/>
        <w:jc w:val="center"/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D7937B7" wp14:editId="0B68FE3C">
            <wp:extent cx="3139089" cy="2363373"/>
            <wp:effectExtent l="0" t="0" r="4445" b="0"/>
            <wp:docPr id="1291299866" name="Imagen 1" descr="Gráfico, Gráfico de barr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99866" name="Imagen 1" descr="Gráfico, Gráfico de barras, Histo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514" cy="23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E217" w14:textId="77777777" w:rsidR="00D6050F" w:rsidRPr="00C672F0" w:rsidRDefault="00D6050F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D6050F">
        <w:rPr>
          <w:rFonts w:ascii="Arial" w:hAnsi="Arial" w:cs="Arial"/>
          <w:sz w:val="24"/>
          <w:szCs w:val="24"/>
          <w:lang w:val="en-US"/>
        </w:rPr>
        <w:lastRenderedPageBreak/>
        <w:t>This bar chart illustrates the relative importance of each input feature based on SHAP values or, when unavailable, gradient-based saliency analysis.</w:t>
      </w:r>
      <w:r w:rsidRPr="00D6050F">
        <w:rPr>
          <w:rFonts w:ascii="Arial" w:hAnsi="Arial" w:cs="Arial"/>
          <w:sz w:val="24"/>
          <w:szCs w:val="24"/>
          <w:lang w:val="en-US"/>
        </w:rPr>
        <w:br/>
        <w:t>The results show that the closing price (close) and the 10-day moving average (sma10) exert the greatest influence on the model’s predictions, followed by the daily return (ret1) and the 5-day average (sma5).</w:t>
      </w:r>
    </w:p>
    <w:p w14:paraId="54F070CF" w14:textId="69B4E4FF" w:rsidR="00D6050F" w:rsidRDefault="00D6050F" w:rsidP="00D33924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D6050F">
        <w:rPr>
          <w:rFonts w:ascii="Arial" w:hAnsi="Arial" w:cs="Arial"/>
          <w:sz w:val="24"/>
          <w:szCs w:val="24"/>
          <w:lang w:val="en-US"/>
        </w:rPr>
        <w:t>This hierarchy aligns with financial intuition, as longer-term price trends and recent closing values provide stronger signals for short-horizon forecasting.</w:t>
      </w:r>
      <w:r w:rsidRPr="00D6050F">
        <w:rPr>
          <w:rFonts w:ascii="Arial" w:hAnsi="Arial" w:cs="Arial"/>
          <w:sz w:val="24"/>
          <w:szCs w:val="24"/>
          <w:lang w:val="en-US"/>
        </w:rPr>
        <w:br/>
        <w:t>Overall, the plot confirms that the ensemble focuses primarily on stable trend indicators while reducing sensitivity to short-term volatility.</w:t>
      </w:r>
    </w:p>
    <w:p w14:paraId="6493A9D7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4215022F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47F54BC9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6512A14D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5205A5E2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16A43673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1181E98F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092B75B8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0556B535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430E7916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72C9E895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7C02D3F8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50D6B38F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14DF8D30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076D4559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4B1DFB1B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54E64D0D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47C5F0D5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2DE8033B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3A0DB4B8" w14:textId="77777777" w:rsidR="0076038C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75261688" w14:textId="77777777" w:rsidR="0076038C" w:rsidRPr="00C672F0" w:rsidRDefault="0076038C" w:rsidP="00D6050F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14:paraId="5396A94C" w14:textId="77777777" w:rsidR="00C65EA5" w:rsidRPr="00C672F0" w:rsidRDefault="00C65EA5" w:rsidP="00C65EA5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>References</w:t>
      </w:r>
    </w:p>
    <w:p w14:paraId="55E9AE23" w14:textId="77777777" w:rsidR="00C65EA5" w:rsidRPr="00C672F0" w:rsidRDefault="00C65EA5" w:rsidP="00C65EA5">
      <w:pPr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sz w:val="24"/>
          <w:szCs w:val="24"/>
          <w:lang w:val="en-US"/>
        </w:rPr>
        <w:lastRenderedPageBreak/>
        <w:t xml:space="preserve">Scikit-learn Documentation. (2024). </w:t>
      </w:r>
      <w:r w:rsidRPr="00C672F0">
        <w:rPr>
          <w:rFonts w:ascii="Arial" w:hAnsi="Arial" w:cs="Arial"/>
          <w:i/>
          <w:iCs/>
          <w:sz w:val="24"/>
          <w:szCs w:val="24"/>
          <w:lang w:val="en-US"/>
        </w:rPr>
        <w:t>Model Selection and Evaluation – Metrics and Cross-Validation.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19" w:tgtFrame="_new" w:history="1">
        <w:r w:rsidRPr="00C672F0">
          <w:rPr>
            <w:rStyle w:val="Hipervnculo"/>
            <w:rFonts w:ascii="Arial" w:hAnsi="Arial" w:cs="Arial"/>
            <w:sz w:val="24"/>
            <w:szCs w:val="24"/>
          </w:rPr>
          <w:t>https://scikit-learn.org/stable/modules/classes.html</w:t>
        </w:r>
      </w:hyperlink>
    </w:p>
    <w:p w14:paraId="00CA5347" w14:textId="77777777" w:rsidR="00C65EA5" w:rsidRPr="00C672F0" w:rsidRDefault="00C65EA5" w:rsidP="00C65EA5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</w:rPr>
        <w:t xml:space="preserve">TensorFlow Documentation. 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(2025). </w:t>
      </w:r>
      <w:r w:rsidRPr="00C672F0">
        <w:rPr>
          <w:rFonts w:ascii="Arial" w:hAnsi="Arial" w:cs="Arial"/>
          <w:i/>
          <w:iCs/>
          <w:sz w:val="24"/>
          <w:szCs w:val="24"/>
          <w:lang w:val="en-US"/>
        </w:rPr>
        <w:t>Keras Loss Functions – Huber Loss and Callbacks.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https://www.tensorflow.org/api_docs/python/tf/keras/losses/Huber</w:t>
      </w:r>
    </w:p>
    <w:p w14:paraId="6CE9871C" w14:textId="77777777" w:rsidR="00C65EA5" w:rsidRPr="00C672F0" w:rsidRDefault="00C65EA5" w:rsidP="00C65EA5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TensorFlow Documentation. (2025). </w:t>
      </w:r>
      <w:r w:rsidRPr="00C672F0">
        <w:rPr>
          <w:rFonts w:ascii="Arial" w:hAnsi="Arial" w:cs="Arial"/>
          <w:i/>
          <w:iCs/>
          <w:sz w:val="24"/>
          <w:szCs w:val="24"/>
          <w:lang w:val="en-US"/>
        </w:rPr>
        <w:t>Keras Recurrent Layers (LSTM, GRU, SimpleRNN, Bidirectional).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20" w:tgtFrame="_new" w:history="1">
        <w:r w:rsidRPr="00C672F0">
          <w:rPr>
            <w:rStyle w:val="Hipervnculo"/>
            <w:rFonts w:ascii="Arial" w:hAnsi="Arial" w:cs="Arial"/>
            <w:sz w:val="24"/>
            <w:szCs w:val="24"/>
            <w:lang w:val="en-US"/>
          </w:rPr>
          <w:t>https://www.tensorflow.org/api_docs/python/tf/keras/layers</w:t>
        </w:r>
      </w:hyperlink>
    </w:p>
    <w:p w14:paraId="55F11F7A" w14:textId="77777777" w:rsidR="00C65EA5" w:rsidRPr="00C672F0" w:rsidRDefault="00C65EA5" w:rsidP="00C65EA5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Yahoo Finance API. (2024). </w:t>
      </w:r>
      <w:r w:rsidRPr="00C672F0">
        <w:rPr>
          <w:rFonts w:ascii="Arial" w:hAnsi="Arial" w:cs="Arial"/>
          <w:i/>
          <w:iCs/>
          <w:sz w:val="24"/>
          <w:szCs w:val="24"/>
          <w:lang w:val="en-US"/>
        </w:rPr>
        <w:t>Historical Market Data Retrieval using yfinance.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21" w:tgtFrame="_new" w:history="1">
        <w:r w:rsidRPr="00C672F0">
          <w:rPr>
            <w:rStyle w:val="Hipervnculo"/>
            <w:rFonts w:ascii="Arial" w:hAnsi="Arial" w:cs="Arial"/>
            <w:sz w:val="24"/>
            <w:szCs w:val="24"/>
            <w:lang w:val="en-US"/>
          </w:rPr>
          <w:t>https://pypi.org/project/yfinance/</w:t>
        </w:r>
      </w:hyperlink>
    </w:p>
    <w:p w14:paraId="1E517CB0" w14:textId="77777777" w:rsidR="00C65EA5" w:rsidRPr="00C672F0" w:rsidRDefault="00C65EA5" w:rsidP="00C65EA5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Pandas Documentation. (2024). </w:t>
      </w:r>
      <w:r w:rsidRPr="00C672F0">
        <w:rPr>
          <w:rFonts w:ascii="Arial" w:hAnsi="Arial" w:cs="Arial"/>
          <w:i/>
          <w:iCs/>
          <w:sz w:val="24"/>
          <w:szCs w:val="24"/>
          <w:lang w:val="en-US"/>
        </w:rPr>
        <w:t>Time Series and Date/Time Functionality.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22" w:tgtFrame="_new" w:history="1">
        <w:r w:rsidRPr="00C672F0">
          <w:rPr>
            <w:rStyle w:val="Hipervnculo"/>
            <w:rFonts w:ascii="Arial" w:hAnsi="Arial" w:cs="Arial"/>
            <w:sz w:val="24"/>
            <w:szCs w:val="24"/>
            <w:lang w:val="en-US"/>
          </w:rPr>
          <w:t>https://pandas.pydata.org/docs/user_guide/timeseries.html</w:t>
        </w:r>
      </w:hyperlink>
    </w:p>
    <w:p w14:paraId="37293EF5" w14:textId="77777777" w:rsidR="00C65EA5" w:rsidRPr="00C672F0" w:rsidRDefault="00C65EA5" w:rsidP="00C65EA5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Idrees, H. (2024, July 5). </w:t>
      </w:r>
      <w:r w:rsidRPr="00C672F0">
        <w:rPr>
          <w:rFonts w:ascii="Arial" w:hAnsi="Arial" w:cs="Arial"/>
          <w:i/>
          <w:iCs/>
          <w:sz w:val="24"/>
          <w:szCs w:val="24"/>
          <w:lang w:val="en-US"/>
        </w:rPr>
        <w:t>RNN vs. LSTM vs. GRU: A Comprehensive Guide to Sequential Data Modeling.</w:t>
      </w:r>
      <w:r w:rsidRPr="00C672F0">
        <w:rPr>
          <w:rFonts w:ascii="Arial" w:hAnsi="Arial" w:cs="Arial"/>
          <w:sz w:val="24"/>
          <w:szCs w:val="24"/>
          <w:lang w:val="en-US"/>
        </w:rPr>
        <w:t xml:space="preserve"> Medium. </w:t>
      </w:r>
      <w:hyperlink r:id="rId23" w:tgtFrame="_new" w:history="1">
        <w:r w:rsidRPr="00C672F0">
          <w:rPr>
            <w:rStyle w:val="Hipervnculo"/>
            <w:rFonts w:ascii="Arial" w:hAnsi="Arial" w:cs="Arial"/>
            <w:sz w:val="24"/>
            <w:szCs w:val="24"/>
            <w:lang w:val="en-US"/>
          </w:rPr>
          <w:t>https://medium.com/@hassaanidrees7/rnn-vs-lstm-vs-gru-a-comprehensive-guide-to-sequential-data-modeling-03aab16647bb</w:t>
        </w:r>
      </w:hyperlink>
    </w:p>
    <w:p w14:paraId="31DBDDF4" w14:textId="516C598F" w:rsidR="00C672F0" w:rsidRPr="0076038C" w:rsidRDefault="00C672F0" w:rsidP="00C672F0">
      <w:pPr>
        <w:rPr>
          <w:rFonts w:ascii="Arial" w:hAnsi="Arial" w:cs="Arial"/>
          <w:sz w:val="24"/>
          <w:szCs w:val="24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TensorFlow Documentation (2025). Multi-Head Attention Layer. </w:t>
      </w:r>
      <w:hyperlink r:id="rId24" w:history="1">
        <w:r w:rsidRPr="0076038C">
          <w:rPr>
            <w:rStyle w:val="Hipervnculo"/>
            <w:rFonts w:ascii="Arial" w:hAnsi="Arial" w:cs="Arial"/>
            <w:sz w:val="24"/>
            <w:szCs w:val="24"/>
          </w:rPr>
          <w:t>https://www.tensorflow.org/api_docs/python/tf/keras/layers/MultiHeadAttention</w:t>
        </w:r>
      </w:hyperlink>
    </w:p>
    <w:p w14:paraId="6A0FCF36" w14:textId="2CED888D" w:rsidR="00C672F0" w:rsidRPr="00C672F0" w:rsidRDefault="00C672F0" w:rsidP="00C672F0">
      <w:pPr>
        <w:rPr>
          <w:rFonts w:ascii="Arial" w:hAnsi="Arial" w:cs="Arial"/>
          <w:sz w:val="24"/>
          <w:szCs w:val="24"/>
          <w:lang w:val="en-US"/>
        </w:rPr>
      </w:pPr>
      <w:r w:rsidRPr="00C672F0">
        <w:rPr>
          <w:rFonts w:ascii="Arial" w:hAnsi="Arial" w:cs="Arial"/>
          <w:sz w:val="24"/>
          <w:szCs w:val="24"/>
          <w:lang w:val="en-US"/>
        </w:rPr>
        <w:t xml:space="preserve">TensorFlow Documentation (2025). Keras Loss Functions – Huber Loss. </w:t>
      </w:r>
      <w:hyperlink r:id="rId25" w:history="1">
        <w:r w:rsidRPr="00C672F0">
          <w:rPr>
            <w:rStyle w:val="Hipervnculo"/>
            <w:rFonts w:ascii="Arial" w:hAnsi="Arial" w:cs="Arial"/>
            <w:sz w:val="24"/>
            <w:szCs w:val="24"/>
            <w:lang w:val="en-US"/>
          </w:rPr>
          <w:t>https://www.tensorflow.org/api_docs/python/tf/keras/losses</w:t>
        </w:r>
      </w:hyperlink>
    </w:p>
    <w:p w14:paraId="029F2662" w14:textId="77777777" w:rsidR="00C672F0" w:rsidRPr="00C672F0" w:rsidRDefault="00C672F0" w:rsidP="00C672F0">
      <w:pPr>
        <w:rPr>
          <w:rFonts w:ascii="Arial" w:hAnsi="Arial" w:cs="Arial"/>
          <w:sz w:val="24"/>
          <w:szCs w:val="24"/>
          <w:lang w:val="en-US"/>
        </w:rPr>
      </w:pPr>
    </w:p>
    <w:sectPr w:rsidR="00C672F0" w:rsidRPr="00C672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D7B63"/>
    <w:multiLevelType w:val="hybridMultilevel"/>
    <w:tmpl w:val="82C40DEC"/>
    <w:lvl w:ilvl="0" w:tplc="A02EAE9E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634EE"/>
    <w:multiLevelType w:val="multilevel"/>
    <w:tmpl w:val="8CEE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  <w:b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1A48C0"/>
    <w:multiLevelType w:val="multilevel"/>
    <w:tmpl w:val="3E8A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346751"/>
    <w:multiLevelType w:val="hybridMultilevel"/>
    <w:tmpl w:val="611E1380"/>
    <w:lvl w:ilvl="0" w:tplc="9078C8BC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66F23"/>
    <w:multiLevelType w:val="multilevel"/>
    <w:tmpl w:val="D66C7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978740">
    <w:abstractNumId w:val="1"/>
  </w:num>
  <w:num w:numId="2" w16cid:durableId="929460623">
    <w:abstractNumId w:val="4"/>
  </w:num>
  <w:num w:numId="3" w16cid:durableId="500778935">
    <w:abstractNumId w:val="2"/>
  </w:num>
  <w:num w:numId="4" w16cid:durableId="1261530394">
    <w:abstractNumId w:val="0"/>
  </w:num>
  <w:num w:numId="5" w16cid:durableId="1445542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B4A"/>
    <w:rsid w:val="000F4974"/>
    <w:rsid w:val="0017418B"/>
    <w:rsid w:val="001900D3"/>
    <w:rsid w:val="00191436"/>
    <w:rsid w:val="002C18DB"/>
    <w:rsid w:val="00356D37"/>
    <w:rsid w:val="003A6332"/>
    <w:rsid w:val="004100BE"/>
    <w:rsid w:val="00557DCF"/>
    <w:rsid w:val="006F3087"/>
    <w:rsid w:val="0076038C"/>
    <w:rsid w:val="00774253"/>
    <w:rsid w:val="00774B4A"/>
    <w:rsid w:val="008D250D"/>
    <w:rsid w:val="00A9492C"/>
    <w:rsid w:val="00C65EA5"/>
    <w:rsid w:val="00C672F0"/>
    <w:rsid w:val="00C83DAC"/>
    <w:rsid w:val="00D33924"/>
    <w:rsid w:val="00D6050F"/>
    <w:rsid w:val="00DB1E25"/>
    <w:rsid w:val="00F0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1D4B6"/>
  <w15:chartTrackingRefBased/>
  <w15:docId w15:val="{D7DF0E14-F547-4461-9ED5-8D600FDC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4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4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4B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4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4B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4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4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4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4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4B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4B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4B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4B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4B4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4B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4B4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4B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4B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4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4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4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4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4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4B4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4B4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4B4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4B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4B4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4B4A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56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65EA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5E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672F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ypi.org/project/yfinanc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tensorflow.org/api_docs/python/tf/keras/loss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tensorflow.org/api_docs/python/tf/keras/laye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tensorflow.org/api_docs/python/tf/keras/layers/MultiHeadAtten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edium.com/@hassaanidrees7/rnn-vs-lstm-vs-gru-a-comprehensive-guide-to-sequential-data-modeling-03aab16647bb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cikit-learn.org/stable/modules/class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andas.pydata.org/docs/user_guide/timeserie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8</Pages>
  <Words>941</Words>
  <Characters>6443</Characters>
  <Application>Microsoft Office Word</Application>
  <DocSecurity>0</DocSecurity>
  <Lines>189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Muñoz</dc:creator>
  <cp:keywords/>
  <dc:description/>
  <cp:lastModifiedBy>GABRIEL MUNOZ LUNA</cp:lastModifiedBy>
  <cp:revision>7</cp:revision>
  <dcterms:created xsi:type="dcterms:W3CDTF">2025-10-29T01:27:00Z</dcterms:created>
  <dcterms:modified xsi:type="dcterms:W3CDTF">2025-10-31T15:11:00Z</dcterms:modified>
</cp:coreProperties>
</file>