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Dicionário de Dados</w:t>
      </w:r>
    </w:p>
    <w:p>
      <w:pPr>
        <w:pStyle w:val="Heading2"/>
        <w:jc w:val="center"/>
      </w:pPr>
      <w:r>
        <w:t>Variáveis Temporais e Comportamentais</w:t>
      </w:r>
    </w:p>
    <w:p/>
    <w:p>
      <w:pPr>
        <w:pStyle w:val="Heading3"/>
      </w:pPr>
      <w:r>
        <w:t>BLOCO A: VARIÁVEIS TEMPORAIS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evt_qtd_total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de eventos registrados no histórico completo do CPF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 de todos os eventos do customer_id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evt_qtd_30d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de eventos nos últimos 30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 de eventos onde data_evento &gt;= (data_referência - 30 dias)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evt_qtd_60d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de eventos nos últimos 60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 de eventos onde data_evento &gt;= (data_referência - 60 dias)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evt_qtd_90d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Total de eventos nos últimos 90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 de eventos onde data_evento &gt;= (data_referência - 90 dias)</w:t>
            </w:r>
          </w:p>
        </w:tc>
      </w:tr>
    </w:tbl>
    <w:p/>
    <w:p>
      <w:pPr>
        <w:pStyle w:val="Heading3"/>
      </w:pPr>
      <w:r>
        <w:t>BLOCO B: PROPORÇÕES TEMPORAIS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evt_share_30d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 histórico total ocorrida nos últimos 30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evt_qtd_30d / evt_qtd_total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evt_share_60d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 histórico total ocorrida nos últimos 60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evt_qtd_60d / evt_qtd_total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evt_share_90d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 histórico total ocorrida nos últimos 90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evt_qtd_90d / evt_qtd_total</w:t>
            </w:r>
          </w:p>
        </w:tc>
      </w:tr>
    </w:tbl>
    <w:p/>
    <w:p>
      <w:pPr>
        <w:pStyle w:val="Heading3"/>
      </w:pPr>
      <w:r>
        <w:t>BLOCO C: RECÊNCIA, TEMPO DE VIDA E RITMO MÉDIO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vida_ativa_dias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Intervalo em dias entre o primeiro e último evento do CPF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MAX(data_evento) - MIN(data_evento)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dias_desde_ultimo_evt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Número de dias desde o último evento observado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data_referência - MAX(data_evento)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ritmo_medio_evt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Média de eventos por dia ao longo da vida ativa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evt_qtd_total / vida_ativa_dias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gap_medio_evt_dias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Intervalo médio em dias entre eventos consecutivos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vida_ativa_dias / (evt_qtd_total - 1)</w:t>
            </w:r>
          </w:p>
        </w:tc>
      </w:tr>
    </w:tbl>
    <w:p/>
    <w:p>
      <w:pPr>
        <w:pStyle w:val="Heading3"/>
      </w:pPr>
      <w:r>
        <w:t>BLOCO D: BURST E CONCENTRAÇÃO RECENTE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share_evt_30d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dos eventos dos últimos 30 dias concentrada no dia de pico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MAX(eventos_por_dia_30d) / evt_qtd_30d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share_evt_60d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dos eventos dos últimos 60 dias concentrada no dia de pico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MAX(eventos_por_dia_60d) / evt_qtd_60d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share_evt_90d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dos eventos dos últimos 90 dias concentrada no dia de pico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MAX(eventos_por_dia_90d) / evt_qtd_90d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ritmo_30d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Ritmo médio de eventos por dia nos últimos 30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evt_qtd_30d / 30</w:t>
            </w:r>
          </w:p>
        </w:tc>
      </w:tr>
    </w:tbl>
    <w:p/>
    <w:p>
      <w:pPr>
        <w:pStyle w:val="Heading3"/>
      </w:pPr>
      <w:r>
        <w:t>BLOCO E: REGULARIDADE E ESPAÇAMENTO - VARIÁVEIS BÁSICAS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gap_media_dias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Média dos intervalos em dias entre eventos consecutivos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AVG(data_evento[i+1] - data_evento[i]) para todos os pares consecutivos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gap_mediana_dias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Mediana dos intervalos em dias entre eventos consecutivos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MEDIAN(data_evento[i+1] - data_evento[i]) para todos os pares consecutivos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gap_dp_dias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Desvio padrão dos intervalos entre eventos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STDDEV(data_evento[i+1] - data_evento[i]) para todos os pares consecutivos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gap_min_dias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Menor intervalo observado entre eventos consecutivos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MIN(data_evento[i+1] - data_evento[i])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gap_max_dias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Maior intervalo observado entre eventos consecutivos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MAX(data_evento[i+1] - data_evento[i])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gap_p90_dias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Percentil 90 dos intervalos entre eventos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PERCENTILE_90(data_evento[i+1] - data_evento[i])</w:t>
            </w:r>
          </w:p>
        </w:tc>
      </w:tr>
    </w:tbl>
    <w:p/>
    <w:p>
      <w:pPr>
        <w:pStyle w:val="Heading3"/>
      </w:pPr>
      <w:r>
        <w:t>BLOCO F: REGULARIDADE - PROPORÇÕES DE GAPS CURTOS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share_gaps_le_1d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de intervalos ≤ 1 dia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COUNT(gaps ≤ 1) / COUNT(total_gaps)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share_gaps_le_3d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de intervalos ≤ 3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COUNT(gaps ≤ 3) / COUNT(total_gaps)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share_gaps_le_7d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de intervalos ≤ 7 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COUNT(gaps ≤ 7) / COUNT(total_gaps)</w:t>
            </w:r>
          </w:p>
        </w:tc>
      </w:tr>
    </w:tbl>
    <w:p/>
    <w:p>
      <w:pPr>
        <w:pStyle w:val="Heading3"/>
      </w:pPr>
      <w:r>
        <w:t>BLOCO G: REGULARIDADE - MEDIDAS DERIVADAS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cv_gap_dias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Coeficiente de variação dos intervalos entre eventos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gap_dp_dias / gap_media_dias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burstiness_gap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Indicador de comportamento episódico vs regular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(gap_dp_dias - gap_media_dias) / (gap_dp_dias + gap_media_dias)</w:t>
            </w:r>
          </w:p>
        </w:tc>
      </w:tr>
    </w:tbl>
    <w:p/>
    <w:p>
      <w:pPr>
        <w:pStyle w:val="Heading3"/>
      </w:pPr>
      <w:r>
        <w:t>BLOCO H: INTENSIDADE E EXTREMOS - VARIÁVEIS BÁSICAS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evt_max_dia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Maior número de eventos registrados em um único dia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MAX(COUNT(eventos) GROUP BY data_evento)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evt_mean_dia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Média de eventos por dia ativo (dias com pelo menos 1 evento)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evt_qtd_total / dias_ativos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dias_ativos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Número de dias distintos com pelo menos um evento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COUNT(DISTINCT data_evento)</w:t>
            </w:r>
          </w:p>
        </w:tc>
      </w:tr>
    </w:tbl>
    <w:p/>
    <w:p>
      <w:pPr>
        <w:pStyle w:val="Heading3"/>
      </w:pPr>
      <w:r>
        <w:t>BLOCO I: INTENSIDADE - RAZÕES E PROPORÇÕES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ratio_pico_media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Razão entre o pico diário e a média diária de eventos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evt_max_dia / evt_mean_dia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share_pico_total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Proporção do histórico total concentrada no dia de maior intensidade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evt_max_dia / evt_qtd_total</w:t>
            </w:r>
          </w:p>
        </w:tc>
      </w:tr>
    </w:tbl>
    <w:p/>
    <w:p>
      <w:pPr>
        <w:pStyle w:val="Heading3"/>
      </w:pPr>
      <w:r>
        <w:t>BLOCO J: INTENSIDADE - OUTRAS MEDIDAS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flag_super_pico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Indicador de pico extremo de atividade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IF evt_max_dia &gt;= 10 THEN 1 ELSE 0</w:t>
            </w:r>
          </w:p>
        </w:tc>
      </w:tr>
    </w:tbl>
    <w:p/>
    <w:p>
      <w:pPr>
        <w:pStyle w:val="Heading3"/>
      </w:pPr>
      <w:r>
        <w:t>BLOCO K: VARIÁVEIS EXÓGENAS - BUREAU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FPD_SCORE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Score de risco de crédito fornecido pelo bureau de crédito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Variável original da base Bureau (score proprietário)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SAFRA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Identificador da safra/coorte temporal do cliente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Variável original da base Bureau indicando período de entrada</w:t>
            </w:r>
          </w:p>
        </w:tc>
      </w:tr>
    </w:tbl>
    <w:p/>
    <w:p>
      <w:pPr>
        <w:pStyle w:val="Heading3"/>
      </w:pPr>
      <w:r>
        <w:t>BLOCO L: DIMENSÕES CATEGÓRICAS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00"/>
        <w:gridCol w:w="3600"/>
      </w:tblGrid>
      <w:tr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Nome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Explicação da Variável</w:t>
            </w:r>
          </w:p>
        </w:tc>
        <w:tc>
          <w:tcPr>
            <w:tcW w:type="dxa" w:w="3360"/>
            <w:shd w:fill="4472C4"/>
          </w:tcPr>
          <w:p>
            <w:r>
              <w:rPr>
                <w:b/>
                <w:color w:val="FFFFFF"/>
                <w:sz w:val="20"/>
              </w:rPr>
              <w:t>Memória de Cálculo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DW_DIM_INSTITUICAO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Dimensão da instituição financeira (após agregação de categorias)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Variável categórica original com tratamento: NA/ND/NI → "sem informação"; categorias similares agregadas (ex: 9 tipos de bônus → "bônus")</w:t>
            </w:r>
          </w:p>
        </w:tc>
      </w:tr>
    </w:tbl>
    <w:p>
      <w:r>
        <w:br w:type="page"/>
      </w:r>
    </w:p>
    <w:p>
      <w:pPr>
        <w:pStyle w:val="Heading2"/>
      </w:pPr>
      <w:r>
        <w:t>Observações</w:t>
      </w:r>
    </w:p>
    <w:p>
      <w:pPr>
        <w:pStyle w:val="ListBullet"/>
      </w:pPr>
      <w:r>
        <w:rPr>
          <w:sz w:val="22"/>
        </w:rPr>
        <w:t>As variáveis dos Blocos A-J são derivadas da análise temporal de eventos transacionais</w:t>
      </w:r>
    </w:p>
    <w:p>
      <w:pPr>
        <w:pStyle w:val="ListBullet"/>
      </w:pPr>
      <w:r>
        <w:rPr>
          <w:sz w:val="22"/>
        </w:rPr>
        <w:t>O Bloco K incorpora variáveis externas do bureau de crédito</w:t>
      </w:r>
    </w:p>
    <w:p>
      <w:pPr>
        <w:pStyle w:val="ListBullet"/>
      </w:pPr>
      <w:r>
        <w:rPr>
          <w:sz w:val="22"/>
        </w:rPr>
        <w:t>O Bloco L apresenta a única dimensão categórica com variabilidade suficiente das 11 dimensões analisadas</w:t>
      </w:r>
    </w:p>
    <w:p>
      <w:pPr>
        <w:pStyle w:val="ListBullet"/>
      </w:pPr>
      <w:r>
        <w:rPr>
          <w:sz w:val="22"/>
        </w:rPr>
        <w:t>Categorias como NA, ND e NI foram padronizadas como "sem informação" para melhor tratamento analítico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