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60.0" w:type="pct"/>
        <w:tblLayout w:type="fixed"/>
        <w:tblLook w:val="0600"/>
      </w:tblPr>
      <w:tblGrid>
        <w:gridCol w:w="3255"/>
        <w:gridCol w:w="6165"/>
        <w:tblGridChange w:id="0">
          <w:tblGrid>
            <w:gridCol w:w="3255"/>
            <w:gridCol w:w="61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UC09 - Solicitar retirada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Instituição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UC é responsável pelo processo de retirada do PET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Termos de responsabilidade assinado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Retirada do pet realizada na data especificada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Usuário deve selecionar o pet desejado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Usuário deve selecionar a data de retirada desejada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Para consulta: verificar se a data de retirada está disponível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Data disponível: Sistema exibe a mensagem: “Retirada agendada!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Data indisponível: Sistema exibe a mensagem “Data indisponível.”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O pet ainda deve estar disponível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2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 Cancelamento da entrega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Solicitar o cancelamento da Entrega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processo de cancelamento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o motivo do cancelamento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o motivo do cancelamento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a entrega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FNFdB1lgCmHvAude/Z0Nvrghfw==">AMUW2mVWnLn98qzsAjB/aiPCCpzalE39/wSMLLpMEfwzJYMvzhMHgk6TxSIWiQv5hFRGnkt0kgkTtaw4e8IFq9H0a7wzgR7yT/PCErc4Y6uRoyo1aeU+cVk=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