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0.0" w:type="dxa"/>
        <w:tblLayout w:type="fixed"/>
        <w:tblLook w:val="0000"/>
      </w:tblPr>
      <w:tblGrid>
        <w:gridCol w:w="4155"/>
        <w:gridCol w:w="4335"/>
        <w:tblGridChange w:id="0">
          <w:tblGrid>
            <w:gridCol w:w="4155"/>
            <w:gridCol w:w="433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–  Acionar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Adotante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Ator(es) Secundário(s)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Não há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Este UC é responsável pelo cadastro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Responder a duvida do adotante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Ator entra em contato com o chatbot.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Demonstra opções de avaliação.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Ator envia sua dúvida.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BOT pesquisa no banco de dados a resposta para dúvida.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Restrições e Validações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  <w:br w:type="textWrapping"/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Alternativo (FA-01) –  &lt;&gt;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de Exceção (FE-02) –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Dúvida que não há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Ator envia dúvida que não há no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Sistema diz que irá contatar um atendente para respondê-lo melhor e informa que o CHATBOT não tem disponibilidade para esta pergunta.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de Exceção (FE-03) –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    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708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vqOFUJakN0Y45OPogy4GAikuw==">AMUW2mX5DjnIV7QIiZL+mJMsdi9NWzQn2No/2oMxK3wnxJkKY2bx5HiCBES/7nyzQAHr3xhDRUT8BSGzLaleDvviS0HBVFyYdGK66lijSdzXkRUngozDGaQ=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