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32155F"/>
          <w:sz w:val="68"/>
        </w:rPr>
        <w:t>REDESIGN DE</w:t>
        <w:br/>
        <w:t>LANDING PAGE</w:t>
      </w:r>
      <w:r>
        <w:rPr>
          <w:rFonts w:ascii="Aptos Display" w:hAnsi="Aptos Display"/>
          <w:b/>
          <w:color w:val="5A2CA0"/>
          <w:sz w:val="72"/>
        </w:rPr>
        <w:br/>
        <w:t>UNEX</w:t>
      </w:r>
    </w:p>
    <w:p>
      <w:pPr>
        <w:spacing w:before="320"/>
        <w:jc w:val="center"/>
      </w:pPr>
      <w:r>
        <w:rPr>
          <w:color w:val="6A6174"/>
          <w:sz w:val="26"/>
        </w:rPr>
        <w:t>Estudo Dirigido de Desenvolvimento Front-end e UX/UI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6912"/>
      </w:tblGrid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F9"/>
            <w:tcBorders>
              <w:top w:val="single" w:sz="4" w:color="DDD5E6"/>
              <w:left w:val="single" w:sz="4" w:color="DDD5E6"/>
              <w:bottom w:val="single" w:sz="4" w:color="DDD5E6"/>
              <w:right w:val="single" w:sz="4" w:color="DDD5E6"/>
              <w:insideH w:val="single" w:sz="4" w:color="DDD5E6"/>
              <w:insideV w:val="single" w:sz="4" w:color="DDD5E6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5A2CA0"/>
                <w:sz w:val="18"/>
              </w:rPr>
              <w:t>Aluno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D5E6"/>
              <w:left w:val="single" w:sz="4" w:color="DDD5E6"/>
              <w:bottom w:val="single" w:sz="4" w:color="DDD5E6"/>
              <w:right w:val="single" w:sz="4" w:color="DDD5E6"/>
              <w:insideH w:val="single" w:sz="4" w:color="DDD5E6"/>
              <w:insideV w:val="single" w:sz="4" w:color="DDD5E6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8"/>
              </w:rPr>
              <w:t>__________________________________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F9"/>
            <w:tcBorders>
              <w:top w:val="single" w:sz="4" w:color="DDD5E6"/>
              <w:left w:val="single" w:sz="4" w:color="DDD5E6"/>
              <w:bottom w:val="single" w:sz="4" w:color="DDD5E6"/>
              <w:right w:val="single" w:sz="4" w:color="DDD5E6"/>
              <w:insideH w:val="single" w:sz="4" w:color="DDD5E6"/>
              <w:insideV w:val="single" w:sz="4" w:color="DDD5E6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5A2CA0"/>
                <w:sz w:val="18"/>
              </w:rPr>
              <w:t>Disciplina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D5E6"/>
              <w:left w:val="single" w:sz="4" w:color="DDD5E6"/>
              <w:bottom w:val="single" w:sz="4" w:color="DDD5E6"/>
              <w:right w:val="single" w:sz="4" w:color="DDD5E6"/>
              <w:insideH w:val="single" w:sz="4" w:color="DDD5E6"/>
              <w:insideV w:val="single" w:sz="4" w:color="DDD5E6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8"/>
              </w:rPr>
              <w:t>__________________________________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F9"/>
            <w:tcBorders>
              <w:top w:val="single" w:sz="4" w:color="DDD5E6"/>
              <w:left w:val="single" w:sz="4" w:color="DDD5E6"/>
              <w:bottom w:val="single" w:sz="4" w:color="DDD5E6"/>
              <w:right w:val="single" w:sz="4" w:color="DDD5E6"/>
              <w:insideH w:val="single" w:sz="4" w:color="DDD5E6"/>
              <w:insideV w:val="single" w:sz="4" w:color="DDD5E6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5A2CA0"/>
                <w:sz w:val="18"/>
              </w:rPr>
              <w:t>Professor(a)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D5E6"/>
              <w:left w:val="single" w:sz="4" w:color="DDD5E6"/>
              <w:bottom w:val="single" w:sz="4" w:color="DDD5E6"/>
              <w:right w:val="single" w:sz="4" w:color="DDD5E6"/>
              <w:insideH w:val="single" w:sz="4" w:color="DDD5E6"/>
              <w:insideV w:val="single" w:sz="4" w:color="DDD5E6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8"/>
              </w:rPr>
              <w:t>__________________________________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1F9"/>
            <w:tcBorders>
              <w:top w:val="single" w:sz="4" w:color="DDD5E6"/>
              <w:left w:val="single" w:sz="4" w:color="DDD5E6"/>
              <w:bottom w:val="single" w:sz="4" w:color="DDD5E6"/>
              <w:right w:val="single" w:sz="4" w:color="DDD5E6"/>
              <w:insideH w:val="single" w:sz="4" w:color="DDD5E6"/>
              <w:insideV w:val="single" w:sz="4" w:color="DDD5E6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5A2CA0"/>
                <w:sz w:val="18"/>
              </w:rPr>
              <w:t>Data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D5E6"/>
              <w:left w:val="single" w:sz="4" w:color="DDD5E6"/>
              <w:bottom w:val="single" w:sz="4" w:color="DDD5E6"/>
              <w:right w:val="single" w:sz="4" w:color="DDD5E6"/>
              <w:insideH w:val="single" w:sz="4" w:color="DDD5E6"/>
              <w:insideV w:val="single" w:sz="4" w:color="DDD5E6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8"/>
              </w:rPr>
              <w:t>08/09/2026</w:t>
            </w:r>
          </w:p>
        </w:tc>
      </w:tr>
    </w:tbl>
    <w:p/>
    <w:p>
      <w:pPr>
        <w:jc w:val="center"/>
      </w:pPr>
      <w:r>
        <w:rPr>
          <w:i/>
          <w:color w:val="6A6174"/>
          <w:sz w:val="17"/>
        </w:rPr>
        <w:t>Projeto acadêmico não oficial. O redesign utiliza textos e ilustrações autorais para fins didáticos.</w:t>
      </w:r>
    </w:p>
    <w:p>
      <w:r>
        <w:br w:type="page"/>
      </w:r>
    </w:p>
    <w:p>
      <w:pPr>
        <w:pStyle w:val="Eyebrow"/>
      </w:pPr>
      <w:r>
        <w:t>VISÃO GERAL</w:t>
      </w:r>
    </w:p>
    <w:p>
      <w:pPr>
        <w:pStyle w:val="Heading1"/>
      </w:pPr>
      <w:r>
        <w:t>1. Objetivo do projeto</w:t>
      </w:r>
    </w:p>
    <w:p>
      <w:r>
        <w:t>Este trabalho propõe o redesign da landing page principal da UNEX com foco em captação de candidatos, clareza de navegação, responsividade, performance e melhor organização da jornada de decisão. A proposta mantém o propósito institucional de apresentar cursos, unidades e formas de ingresso, mas reorganiza a experiência para que o visitante encontre rapidamente o curso de interesse e avance para um formulário de contato.</w:t>
      </w:r>
    </w:p>
    <w:p>
      <w:r>
        <w:t>O desenvolvimento foi realizado em React com Vite, CSS Modules e Framer Motion. Todo o conteúdo textual do redesign, bem como as ilustrações vetoriais das unidades, foi produzido exclusivamente para esta atividade, evitando a reprodução de textos e imagens do site institucional.</w:t>
      </w:r>
    </w:p>
    <w:p>
      <w:pPr>
        <w:pStyle w:val="Heading1"/>
      </w:pPr>
      <w:r>
        <w:t>2. Diagnóstico do site original</w:t>
      </w:r>
    </w:p>
    <w:p>
      <w:r>
        <w:t>A análise foi realizada em 08/09/2026 nas páginas oficiais da UNEX: Home, Graduação e Unidades. A home apresenta navegação institucional ampla, diferentes caminhos de ingresso, cursos em destaque, depoimentos, unidades, notícias e informações institucionais. A página de Graduação permite filtrar cursos por área, unidade e duração. A página de Unidades apresenta Feira de Santana, Itabuna, Jequié e Vitória da Conquista.</w:t>
      </w:r>
    </w:p>
    <w:p>
      <w:r>
        <w:rPr>
          <w:b/>
        </w:rPr>
        <w:t>Pontos fortes identificados</w:t>
      </w:r>
    </w:p>
    <w:p>
      <w:pPr>
        <w:pStyle w:val="ListBullet"/>
      </w:pPr>
      <w:r>
        <w:t>Boa cobertura de conteúdo: cursos, unidades, ingresso, notícias, serviços e informações institucionais.</w:t>
      </w:r>
    </w:p>
    <w:p>
      <w:pPr>
        <w:pStyle w:val="ListBullet"/>
      </w:pPr>
      <w:r>
        <w:t>Apresentação de diferentes modalidades de ingresso, atendendo perfis distintos de candidatos.</w:t>
      </w:r>
    </w:p>
    <w:p>
      <w:pPr>
        <w:pStyle w:val="ListBullet"/>
      </w:pPr>
      <w:r>
        <w:t>Presença de depoimentos e conteúdos que ajudam a construir confiança.</w:t>
      </w:r>
    </w:p>
    <w:p>
      <w:pPr>
        <w:pStyle w:val="ListBullet"/>
      </w:pPr>
      <w:r>
        <w:t>Página de cursos com filtros por área, unidade e duração, facilitando a descoberta.</w:t>
      </w:r>
    </w:p>
    <w:p>
      <w:pPr>
        <w:pStyle w:val="ListBullet"/>
      </w:pPr>
      <w:r>
        <w:t>Informação clara sobre as quatro cidades em que a instituição atua.</w:t>
      </w:r>
    </w:p>
    <w:p>
      <w:r>
        <w:rPr>
          <w:b/>
        </w:rPr>
        <w:t>Pontos de melhoria identificados</w:t>
      </w:r>
    </w:p>
    <w:p>
      <w:pPr>
        <w:pStyle w:val="ListBullet"/>
      </w:pPr>
      <w:r>
        <w:t>A navegação principal reúne muitas categorias e subcategorias, aumentando a quantidade de decisões no primeiro contato.</w:t>
      </w:r>
    </w:p>
    <w:p>
      <w:pPr>
        <w:pStyle w:val="ListBullet"/>
      </w:pPr>
      <w:r>
        <w:t>Diversas chamadas de ingresso aparecem em paralelo, o que pode diluir a prioridade do CTA principal.</w:t>
      </w:r>
    </w:p>
    <w:p>
      <w:pPr>
        <w:pStyle w:val="ListBullet"/>
      </w:pPr>
      <w:r>
        <w:t>Há trechos institucionais extensos para uma página cujo objetivo principal é conversão de candidatos.</w:t>
      </w:r>
    </w:p>
    <w:p>
      <w:pPr>
        <w:pStyle w:val="ListBullet"/>
      </w:pPr>
      <w:r>
        <w:t>A jornada entre conhecer curso, selecionar unidade e iniciar contato pode ser mais linear.</w:t>
      </w:r>
    </w:p>
    <w:p>
      <w:pPr>
        <w:pStyle w:val="ListBullet"/>
      </w:pPr>
      <w:r>
        <w:t>A hierarquia visual pode destacar melhor o próximo passo esperado do usuário, principalmente em telas menores.</w:t>
      </w:r>
    </w:p>
    <w:p>
      <w:pPr>
        <w:pStyle w:val="ListBullet"/>
      </w:pPr>
      <w:r>
        <w:t>Oportunidade de apresentar benefícios e diferenciais em blocos mais escaneáveis, com menos densidade textual.</w:t>
      </w:r>
    </w:p>
    <w:p>
      <w:r>
        <w:drawing>
          <wp:inline xmlns:a="http://schemas.openxmlformats.org/drawingml/2006/main" xmlns:pic="http://schemas.openxmlformats.org/drawingml/2006/picture">
            <wp:extent cx="6080760" cy="434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-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A6174"/>
          <w:sz w:val="17"/>
        </w:rPr>
        <w:t>Figura 1 — Reconstrução esquemática da estrutura observada no site original, acompanhada de comentários de diagnóstico. Não é captura pixel a pixel.</w:t>
      </w:r>
    </w:p>
    <w:p>
      <w:pPr>
        <w:pStyle w:val="Heading1"/>
      </w:pPr>
      <w:r>
        <w:t>3. Planejamento do redesign</w:t>
      </w:r>
    </w:p>
    <w:p>
      <w:r>
        <w:t>O redesenho prioriza uma sequência de decisão simples: descobrir a proposta → escolher forma de ingresso → explorar cursos → compreender diferenciais → selecionar unidade → preencher o formulário. Essa ordem reduz saltos de contexto e mantém o candidato dentro de uma única landing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A2CA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A2CA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A2CA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Justificativa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7"/>
              </w:rPr>
              <w:t>Header/Navbar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2CA0"/>
                <w:sz w:val="17"/>
              </w:rPr>
              <w:t>Reformulado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Menu reduzido a Cursos, Unidades, Sobre e Depoimentos, com CTA “Quero estudar”.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7"/>
              </w:rPr>
              <w:t>Hero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2CA0"/>
                <w:sz w:val="17"/>
              </w:rPr>
              <w:t>Reformulado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Mensagem curta, dois CTAs e informação de contexto logo na primeira dobra.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7"/>
              </w:rPr>
              <w:t>Formas de ingresso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2CA0"/>
                <w:sz w:val="17"/>
              </w:rPr>
              <w:t>Reformulado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Agrupamento em quatro opções principais: Vestibular, ENEM, Transferência e Segunda Graduação.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7"/>
              </w:rPr>
              <w:t>Cursos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2CA0"/>
                <w:sz w:val="17"/>
              </w:rPr>
              <w:t>Mantido e reformulado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Cards autorais com filtro por área sem troca de página.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7"/>
              </w:rPr>
              <w:t>Sobre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2CA0"/>
                <w:sz w:val="17"/>
              </w:rPr>
              <w:t>Reformulado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Texto curto e orientado à experiência do candidato.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7"/>
              </w:rPr>
              <w:t>Diferenciais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2CA0"/>
                <w:sz w:val="17"/>
              </w:rPr>
              <w:t>Adicionado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Benefícios apresentados em linguagem centrada no usuário.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7"/>
              </w:rPr>
              <w:t>Unidades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2CA0"/>
                <w:sz w:val="17"/>
              </w:rPr>
              <w:t>Mantido e reformulado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Quatro cidades em cards com ilustrações SVG autorais.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7"/>
              </w:rPr>
              <w:t>Depoimentos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2CA0"/>
                <w:sz w:val="17"/>
              </w:rPr>
              <w:t>Mantido e reformulado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Relatos fictícios e claramente identificados como demonstrativos.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7"/>
              </w:rPr>
              <w:t>Notícias/Blog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2CA0"/>
                <w:sz w:val="17"/>
              </w:rPr>
              <w:t>Mantido e reformulado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Conteúdos autorais com foco em carreira e vida acadêmica.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7"/>
              </w:rPr>
              <w:t>Formulário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2CA0"/>
                <w:sz w:val="17"/>
              </w:rPr>
              <w:t>Mantido e reformulado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Captação simplificada; no protótipo, não envia nem armazena dados.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7"/>
              </w:rPr>
              <w:t>Footer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5A2CA0"/>
                <w:sz w:val="17"/>
              </w:rPr>
              <w:t>Reformulado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Links essenciais, tecnologias e aviso de projeto acadêmico.</w:t>
            </w:r>
          </w:p>
        </w:tc>
      </w:tr>
    </w:tbl>
    <w:p>
      <w:pPr>
        <w:pStyle w:val="Heading1"/>
      </w:pPr>
      <w:r>
        <w:t>4. Wireframe da nova proposta</w:t>
      </w:r>
    </w:p>
    <w:p>
      <w:r>
        <w:t>O wireframe abaixo representa a ordem das seções antes da codificação. Ele foi planejado para manter o CTA de ingresso recorrente, sem interromper a leitura.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32155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FFFFFF"/>
                <w:sz w:val="20"/>
              </w:rPr>
              <w:t>HEADER</w:t>
            </w:r>
          </w:p>
          <w:p>
            <w:pPr>
              <w:spacing w:after="40"/>
              <w:jc w:val="center"/>
            </w:pPr>
            <w:r>
              <w:rPr>
                <w:color w:val="D7CCE1"/>
                <w:sz w:val="17"/>
              </w:rPr>
              <w:t>Logo • Cursos • Unidades • Sobre • Depoimentos • [Quero estudar]</w:t>
            </w:r>
          </w:p>
        </w:tc>
      </w:tr>
      <w:tr>
        <w:tc>
          <w:tcPr>
            <w:tcW w:type="dxa" w:w="9994"/>
            <w:shd w:fill="FFFF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5A2CA0"/>
                <w:sz w:val="20"/>
              </w:rPr>
              <w:t>HERO</w:t>
            </w:r>
          </w:p>
          <w:p>
            <w:pPr>
              <w:spacing w:after="40"/>
              <w:jc w:val="center"/>
            </w:pPr>
            <w:r>
              <w:rPr>
                <w:color w:val="6A6174"/>
                <w:sz w:val="17"/>
              </w:rPr>
              <w:t>Headline + descrição + [Explorar cursos] + [Começar inscrição] + visual autoral</w:t>
            </w:r>
          </w:p>
        </w:tc>
      </w:tr>
      <w:tr>
        <w:tc>
          <w:tcPr>
            <w:tcW w:type="dxa" w:w="9994"/>
            <w:shd w:fill="F0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5A2CA0"/>
                <w:sz w:val="20"/>
              </w:rPr>
              <w:t>FORMAS DE INGRESSO</w:t>
            </w:r>
          </w:p>
          <w:p>
            <w:pPr>
              <w:spacing w:after="40"/>
              <w:jc w:val="center"/>
            </w:pPr>
            <w:r>
              <w:rPr>
                <w:color w:val="6A6174"/>
                <w:sz w:val="17"/>
              </w:rPr>
              <w:t>Vestibular | ENEM | Transferência | Segunda graduação</w:t>
            </w:r>
          </w:p>
        </w:tc>
      </w:tr>
      <w:tr>
        <w:tc>
          <w:tcPr>
            <w:tcW w:type="dxa" w:w="9994"/>
            <w:shd w:fill="FFFF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5A2CA0"/>
                <w:sz w:val="20"/>
              </w:rPr>
              <w:t>CURSOS</w:t>
            </w:r>
          </w:p>
          <w:p>
            <w:pPr>
              <w:spacing w:after="40"/>
              <w:jc w:val="center"/>
            </w:pPr>
            <w:r>
              <w:rPr>
                <w:color w:val="6A6174"/>
                <w:sz w:val="17"/>
              </w:rPr>
              <w:t>Filtros por área + cards de cursos + CTA de interesse</w:t>
            </w:r>
          </w:p>
        </w:tc>
      </w:tr>
      <w:tr>
        <w:tc>
          <w:tcPr>
            <w:tcW w:type="dxa" w:w="9994"/>
            <w:shd w:fill="F0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5A2CA0"/>
                <w:sz w:val="20"/>
              </w:rPr>
              <w:t>SOBRE</w:t>
            </w:r>
          </w:p>
          <w:p>
            <w:pPr>
              <w:spacing w:after="40"/>
              <w:jc w:val="center"/>
            </w:pPr>
            <w:r>
              <w:rPr>
                <w:color w:val="6A6174"/>
                <w:sz w:val="17"/>
              </w:rPr>
              <w:t>Mensagem institucional curta + apoio visual</w:t>
            </w:r>
          </w:p>
        </w:tc>
      </w:tr>
      <w:tr>
        <w:tc>
          <w:tcPr>
            <w:tcW w:type="dxa" w:w="9994"/>
            <w:shd w:fill="FFFF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5A2CA0"/>
                <w:sz w:val="20"/>
              </w:rPr>
              <w:t>DIFERENCIAIS</w:t>
            </w:r>
          </w:p>
          <w:p>
            <w:pPr>
              <w:spacing w:after="40"/>
              <w:jc w:val="center"/>
            </w:pPr>
            <w:r>
              <w:rPr>
                <w:color w:val="6A6174"/>
                <w:sz w:val="17"/>
              </w:rPr>
              <w:t>Experiência prática | Ambientes | Carreira | Apoio</w:t>
            </w:r>
          </w:p>
        </w:tc>
      </w:tr>
      <w:tr>
        <w:tc>
          <w:tcPr>
            <w:tcW w:type="dxa" w:w="9994"/>
            <w:shd w:fill="F0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5A2CA0"/>
                <w:sz w:val="20"/>
              </w:rPr>
              <w:t>UNIDADES</w:t>
            </w:r>
          </w:p>
          <w:p>
            <w:pPr>
              <w:spacing w:after="40"/>
              <w:jc w:val="center"/>
            </w:pPr>
            <w:r>
              <w:rPr>
                <w:color w:val="6A6174"/>
                <w:sz w:val="17"/>
              </w:rPr>
              <w:t>Feira de Santana | Itabuna | Jequié | Vitória da Conquista</w:t>
            </w:r>
          </w:p>
        </w:tc>
      </w:tr>
      <w:tr>
        <w:tc>
          <w:tcPr>
            <w:tcW w:type="dxa" w:w="9994"/>
            <w:shd w:fill="FFFF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5A2CA0"/>
                <w:sz w:val="20"/>
              </w:rPr>
              <w:t>DEPOIMENTOS</w:t>
            </w:r>
          </w:p>
          <w:p>
            <w:pPr>
              <w:spacing w:after="40"/>
              <w:jc w:val="center"/>
            </w:pPr>
            <w:r>
              <w:rPr>
                <w:color w:val="6A6174"/>
                <w:sz w:val="17"/>
              </w:rPr>
              <w:t>3 cards demonstrativos</w:t>
            </w:r>
          </w:p>
        </w:tc>
      </w:tr>
      <w:tr>
        <w:tc>
          <w:tcPr>
            <w:tcW w:type="dxa" w:w="9994"/>
            <w:shd w:fill="F0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5A2CA0"/>
                <w:sz w:val="20"/>
              </w:rPr>
              <w:t>CONTEÚDO / BLOG</w:t>
            </w:r>
          </w:p>
          <w:p>
            <w:pPr>
              <w:spacing w:after="40"/>
              <w:jc w:val="center"/>
            </w:pPr>
            <w:r>
              <w:rPr>
                <w:color w:val="6A6174"/>
                <w:sz w:val="17"/>
              </w:rPr>
              <w:t>3 cards autorais</w:t>
            </w:r>
          </w:p>
        </w:tc>
      </w:tr>
      <w:tr>
        <w:tc>
          <w:tcPr>
            <w:tcW w:type="dxa" w:w="9994"/>
            <w:shd w:fill="FFFF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5A2CA0"/>
                <w:sz w:val="20"/>
              </w:rPr>
              <w:t>FORMULÁRIO</w:t>
            </w:r>
          </w:p>
          <w:p>
            <w:pPr>
              <w:spacing w:after="40"/>
              <w:jc w:val="center"/>
            </w:pPr>
            <w:r>
              <w:rPr>
                <w:color w:val="6A6174"/>
                <w:sz w:val="17"/>
              </w:rPr>
              <w:t>Nome | E-mail | Telefone | Curso | Unidade | Consentimento</w:t>
            </w:r>
          </w:p>
        </w:tc>
      </w:tr>
      <w:tr>
        <w:tc>
          <w:tcPr>
            <w:tcW w:type="dxa" w:w="9994"/>
            <w:shd w:fill="32155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  <w:jc w:val="center"/>
            </w:pPr>
            <w:r/>
            <w:r>
              <w:rPr>
                <w:b/>
                <w:color w:val="FFFFFF"/>
                <w:sz w:val="20"/>
              </w:rPr>
              <w:t>FOOTER</w:t>
            </w:r>
          </w:p>
          <w:p>
            <w:pPr>
              <w:spacing w:after="40"/>
              <w:jc w:val="center"/>
            </w:pPr>
            <w:r>
              <w:rPr>
                <w:color w:val="D7CCE1"/>
                <w:sz w:val="17"/>
              </w:rPr>
              <w:t>Navegação + ingresso + tecnologias + aviso acadêmico</w:t>
            </w:r>
          </w:p>
        </w:tc>
      </w:tr>
    </w:tbl>
    <w:p>
      <w:pPr>
        <w:pStyle w:val="Heading1"/>
      </w:pPr>
      <w:r>
        <w:t>5. Justificativas de UX/UI</w:t>
      </w:r>
    </w:p>
    <w:p>
      <w:r>
        <w:rPr>
          <w:b/>
          <w:color w:val="5A2CA0"/>
        </w:rPr>
        <w:t xml:space="preserve">Hierarquia visual: </w:t>
      </w:r>
      <w:r>
        <w:t>Título principal forte, subtítulo curto e CTAs contrastantes ajudam o visitante a entender rapidamente o propósito da página.</w:t>
      </w:r>
    </w:p>
    <w:p>
      <w:r>
        <w:rPr>
          <w:b/>
          <w:color w:val="5A2CA0"/>
        </w:rPr>
        <w:t xml:space="preserve">Redução de carga cognitiva: </w:t>
      </w:r>
      <w:r>
        <w:t>A quantidade de links no topo é reduzida e as formas de ingresso são agrupadas em quatro cartões.</w:t>
      </w:r>
    </w:p>
    <w:p>
      <w:r>
        <w:rPr>
          <w:b/>
          <w:color w:val="5A2CA0"/>
        </w:rPr>
        <w:t xml:space="preserve">Consistência de CTA: </w:t>
      </w:r>
      <w:r>
        <w:t>O verbo de ação associado ao ingresso reaparece ao longo da página, diminuindo ambiguidade sobre o próximo passo.</w:t>
      </w:r>
    </w:p>
    <w:p>
      <w:r>
        <w:rPr>
          <w:b/>
          <w:color w:val="5A2CA0"/>
        </w:rPr>
        <w:t xml:space="preserve">Escaneabilidade: </w:t>
      </w:r>
      <w:r>
        <w:t>Textos foram divididos em cards, títulos e pequenos parágrafos para facilitar leitura rápida em desktop e mobile.</w:t>
      </w:r>
    </w:p>
    <w:p>
      <w:r>
        <w:rPr>
          <w:b/>
          <w:color w:val="5A2CA0"/>
        </w:rPr>
        <w:t xml:space="preserve">Mobile-first: </w:t>
      </w:r>
      <w:r>
        <w:t>Grid e navegação mudam progressivamente para uma coluna em telas menores; o menu vira botão responsivo.</w:t>
      </w:r>
    </w:p>
    <w:p>
      <w:r>
        <w:rPr>
          <w:b/>
          <w:color w:val="5A2CA0"/>
        </w:rPr>
        <w:t xml:space="preserve">Acessibilidade: </w:t>
      </w:r>
      <w:r>
        <w:t>HTML semântico, labels de formulário, alt em imagens, link “Pular para o conteúdo” e suporte a prefers-reduced-motion.</w:t>
      </w:r>
    </w:p>
    <w:p>
      <w:r>
        <w:rPr>
          <w:b/>
          <w:color w:val="5A2CA0"/>
        </w:rPr>
        <w:t xml:space="preserve">Confiança e transparência: </w:t>
      </w:r>
      <w:r>
        <w:t>Depoimentos e notícias fictícios são identificados como demonstrativos, e o formulário informa que nenhum dado é salvo.</w:t>
      </w:r>
    </w:p>
    <w:p>
      <w:r>
        <w:rPr>
          <w:b/>
          <w:color w:val="5A2CA0"/>
        </w:rPr>
        <w:t xml:space="preserve">Performance: </w:t>
      </w:r>
      <w:r>
        <w:t>As ilustrações são SVGs leves, imagens de unidades usam lazy loading e não há dependência de fotografias pesadas.</w:t>
      </w:r>
    </w:p>
    <w:p>
      <w:pPr>
        <w:pStyle w:val="Heading1"/>
      </w:pPr>
      <w:r>
        <w:t>6. Estrutura de componentes</w:t>
      </w:r>
    </w:p>
    <w:p>
      <w:r>
        <w:t>A página foi dividida por responsabilidade visual e funcional. Os conteúdos repetitivos foram isolados em arquivos de dados para reduzir duplicação e facilitar manutenção.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A2CA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Arquivo/Componente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A2CA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2155F"/>
                <w:sz w:val="17"/>
              </w:rPr>
              <w:t>Header.jsx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Navegação principal e menu responsivo.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2155F"/>
                <w:sz w:val="17"/>
              </w:rPr>
              <w:t>Hero.jsx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Headline, CTAs e visual de destaque.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2155F"/>
                <w:sz w:val="17"/>
              </w:rPr>
              <w:t>AdmissionOptions.jsx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Cards das formas de ingresso.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2155F"/>
                <w:sz w:val="17"/>
              </w:rPr>
              <w:t>Courses.jsx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Lista de cursos e filtro interativo por área.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2155F"/>
                <w:sz w:val="17"/>
              </w:rPr>
              <w:t>About.jsx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Resumo da proposta institucional.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2155F"/>
                <w:sz w:val="17"/>
              </w:rPr>
              <w:t>Benefits.jsx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Diferenciais apresentados como benefícios.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2155F"/>
                <w:sz w:val="17"/>
              </w:rPr>
              <w:t>Campuses.jsx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Cards das quatro unidades e lazy loading das ilustrações.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2155F"/>
                <w:sz w:val="17"/>
              </w:rPr>
              <w:t>Testimonials.jsx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Depoimentos demonstrativos.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2155F"/>
                <w:sz w:val="17"/>
              </w:rPr>
              <w:t>News.jsx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Cards de conteúdo autoral.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2155F"/>
                <w:sz w:val="17"/>
              </w:rPr>
              <w:t>LeadForm.jsx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Formulário demonstrativo e estado de sucesso.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2155F"/>
                <w:sz w:val="17"/>
              </w:rPr>
              <w:t>Footer.jsx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Links finais, tecnologias e aviso acadêmico.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2155F"/>
                <w:sz w:val="17"/>
              </w:rPr>
              <w:t>data/*.js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Conteúdo estruturado para cursos, unidades, depoimentos e notícias.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2155F"/>
                <w:sz w:val="17"/>
              </w:rPr>
              <w:t>LandingPage.module.css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Sistema visual, grids, responsividade e estados.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32155F"/>
                <w:sz w:val="17"/>
              </w:rPr>
              <w:t>global.css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Reset, tokens globais e tipografia.</w:t>
            </w:r>
          </w:p>
        </w:tc>
      </w:tr>
    </w:tbl>
    <w:p>
      <w:pPr>
        <w:pStyle w:val="Heading1"/>
      </w:pPr>
      <w:r>
        <w:t>7. Tecnologias e bibliotecas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215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2155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Justificativa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5A2CA0"/>
                <w:sz w:val="17"/>
              </w:rPr>
              <w:t>React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Permite componentização, estado local e composição clara da interface.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5A2CA0"/>
                <w:sz w:val="17"/>
              </w:rPr>
              <w:t>Vite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Ambiente de desenvolvimento rápido e build otimizado para aplicações front-end.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5A2CA0"/>
                <w:sz w:val="17"/>
              </w:rPr>
              <w:t>CSS Modules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Evita conflito de nomes de classes e mantém os estilos organizados sem adicionar uma biblioteca visual pesada.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5A2CA0"/>
                <w:sz w:val="17"/>
              </w:rPr>
              <w:t>Framer Motion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Animações de entrada e transições sutis em componentes importantes.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5A2CA0"/>
                <w:sz w:val="17"/>
              </w:rPr>
              <w:t>SVG autoral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Ilustrações leves, escaláveis e independentes de imagens do site oficial.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5A2CA0"/>
                <w:sz w:val="17"/>
              </w:rPr>
              <w:t>HTML semântico / SEO básico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7"/>
              </w:rPr>
              <w:t>Uso de title, description, headings, labels e estrutura semântica. O protótipo usa noindex por ser acadêmico; em produção real essa diretiva deveria ser removida.</w:t>
            </w:r>
          </w:p>
        </w:tc>
      </w:tr>
    </w:tbl>
    <w:p>
      <w:pPr>
        <w:pStyle w:val="Heading1"/>
      </w:pPr>
      <w:r>
        <w:t>8. Responsividade, performance e SEO</w:t>
      </w:r>
    </w:p>
    <w:p>
      <w:pPr>
        <w:pStyle w:val="ListBullet"/>
      </w:pPr>
      <w:r>
        <w:t>Breakpoints para desktop, tablet, mobile e telas muito estreitas.</w:t>
      </w:r>
    </w:p>
    <w:p>
      <w:pPr>
        <w:pStyle w:val="ListBullet"/>
      </w:pPr>
      <w:r>
        <w:t>Navegação colapsável no mobile e botões em largura total quando necessário.</w:t>
      </w:r>
    </w:p>
    <w:p>
      <w:pPr>
        <w:pStyle w:val="ListBullet"/>
      </w:pPr>
      <w:r>
        <w:t>SVGs leves para as unidades e atributo loading="lazy" nas imagens fora da primeira dobra.</w:t>
      </w:r>
    </w:p>
    <w:p>
      <w:pPr>
        <w:pStyle w:val="ListBullet"/>
      </w:pPr>
      <w:r>
        <w:t>Animações respeitam a preferência de redução de movimento do sistema.</w:t>
      </w:r>
    </w:p>
    <w:p>
      <w:pPr>
        <w:pStyle w:val="ListBullet"/>
      </w:pPr>
      <w:r>
        <w:t>Metadados de title, description, theme-color e Open Graph no index.html.</w:t>
      </w:r>
    </w:p>
    <w:p>
      <w:pPr>
        <w:pStyle w:val="ListBullet"/>
      </w:pPr>
      <w:r>
        <w:t>Estrutura semântica com header, nav, main, section, article, blockquote, form e footer.</w:t>
      </w:r>
    </w:p>
    <w:p>
      <w:pPr>
        <w:pStyle w:val="ListBullet"/>
      </w:pPr>
      <w:r>
        <w:t>Inputs com labels, autocomplete e indicação de foco.</w:t>
      </w:r>
    </w:p>
    <w:p>
      <w:pPr>
        <w:pStyle w:val="ListBullet"/>
      </w:pPr>
      <w:r>
        <w:t>Observação: após o deploy, recomenda-se executar Lighthouse para registrar métricas reais de Performance, Accessibility, Best Practices e SEO.</w:t>
      </w:r>
    </w:p>
    <w:p>
      <w:pPr>
        <w:pStyle w:val="Heading1"/>
      </w:pPr>
      <w:r>
        <w:t>9. Comparativo “antes x depois”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A2CA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A2CA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Antes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A2CA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Depois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6"/>
              </w:rPr>
              <w:t>Navegação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Múltiplas categorias institucionais e serviços no menu.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Menu de landing page reduzido a quatro âncoras + CTA principal.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6"/>
              </w:rPr>
              <w:t>Ingresso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Várias modalidades competindo simultaneamente por atenção.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Quatro opções agrupadas em cards, com CTA consistente.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6"/>
              </w:rPr>
              <w:t>Cursos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Destaques e página específica com filtros.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Filtros mantidos diretamente na landing page, com cards menores e autorais.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6"/>
              </w:rPr>
              <w:t>Texto institucional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Conteúdo mais extenso na home.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Resumo em blocos curtos, orientados a benefício.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6"/>
              </w:rPr>
              <w:t>Unidades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Informações de unidades presentes no site.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Cards padronizados com ilustrações SVG próprias e CTA único.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6"/>
              </w:rPr>
              <w:t>Depoimentos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Relatos reais do site institucional.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Depoimentos fictícios e sinalizados para evitar reprodução indevida.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6"/>
              </w:rPr>
              <w:t>Conversão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Diversos caminhos e contatos.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Jornada principal termina em um formulário único de interesse.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6"/>
              </w:rPr>
              <w:t>Responsividade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Site responsivo, mas com alta densidade de informação.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Layout desenhado para reduzir densidade progressivamente em telas menores.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11B2B"/>
                <w:sz w:val="16"/>
              </w:rPr>
              <w:t>Performance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Dependente de assets e estrutura do site atual.</w:t>
            </w:r>
          </w:p>
        </w:tc>
        <w:tc>
          <w:tcPr>
            <w:tcW w:type="dxa" w:w="33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6"/>
              </w:rPr>
              <w:t>Protótipo com assets vetoriais leves e lazy loading.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663440" cy="6598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esign-preview-p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598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A6174"/>
          <w:sz w:val="17"/>
        </w:rPr>
        <w:t>Figura 2 — Renderização do redesign acadêmico. O projeto final é responsivo e interativo; esta imagem serve apenas como registro visual.</w:t>
      </w:r>
    </w:p>
    <w:p>
      <w:pPr>
        <w:pStyle w:val="Heading1"/>
      </w:pPr>
      <w:r>
        <w:t>10. Dificuldades encontradas e soluções aplicadas</w:t>
      </w:r>
    </w:p>
    <w:p>
      <w:r>
        <w:rPr>
          <w:b/>
        </w:rPr>
        <w:t>Manter a identidade do problema sem copiar o site</w:t>
      </w:r>
      <w:r>
        <w:t xml:space="preserve"> — A solução foi manter apenas o propósito e a arquitetura essencial. Textos, depoimentos, notícias e ilustrações foram recriados.</w:t>
      </w:r>
    </w:p>
    <w:p>
      <w:r>
        <w:rPr>
          <w:b/>
        </w:rPr>
        <w:t>Organizar muitas formas de ingresso</w:t>
      </w:r>
      <w:r>
        <w:t xml:space="preserve"> — Foram priorizadas quatro opções principais e todas levam ao mesmo ponto de conversão.</w:t>
      </w:r>
    </w:p>
    <w:p>
      <w:r>
        <w:rPr>
          <w:b/>
        </w:rPr>
        <w:t>Evitar uma home muito longa e pesada</w:t>
      </w:r>
      <w:r>
        <w:t xml:space="preserve"> — Seções foram divididas em blocos escaneáveis, com conteúdo enxuto e SVGs leves.</w:t>
      </w:r>
    </w:p>
    <w:p>
      <w:r>
        <w:rPr>
          <w:b/>
        </w:rPr>
        <w:t>Responsividade em grids de quatro colunas</w:t>
      </w:r>
      <w:r>
        <w:t xml:space="preserve"> — Os grids passam para duas colunas em tablet e uma coluna no mobile.</w:t>
      </w:r>
    </w:p>
    <w:p>
      <w:r>
        <w:rPr>
          <w:b/>
        </w:rPr>
        <w:t>Animação sem prejudicar acessibilidade</w:t>
      </w:r>
      <w:r>
        <w:t xml:space="preserve"> — Framer Motion é usado de forma sutil e o CSS desativa movimento quando prefers-reduced-motion está ativo.</w:t>
      </w:r>
    </w:p>
    <w:p>
      <w:r>
        <w:rPr>
          <w:b/>
        </w:rPr>
        <w:t>Formulário sem backend</w:t>
      </w:r>
      <w:r>
        <w:t xml:space="preserve"> — O protótipo simula sucesso localmente e informa explicitamente que nenhum dado é armazenado.</w:t>
      </w:r>
    </w:p>
    <w:p>
      <w:r>
        <w:rPr>
          <w:b/>
        </w:rPr>
        <w:t>Reutilização de conteúdo</w:t>
      </w:r>
      <w:r>
        <w:t xml:space="preserve"> — Cursos, unidades, depoimentos e notícias foram movidos para arquivos de dados, reduzindo repetição no JSX.</w:t>
      </w:r>
    </w:p>
    <w:p>
      <w:pPr>
        <w:pStyle w:val="Heading1"/>
      </w:pPr>
      <w:r>
        <w:t>11. Possíveis melhorias futuras</w:t>
      </w:r>
    </w:p>
    <w:p>
      <w:pPr>
        <w:pStyle w:val="ListBullet"/>
      </w:pPr>
      <w:r>
        <w:t>Criar páginas individuais de cursos com rotas e conteúdo dinâmico.</w:t>
      </w:r>
    </w:p>
    <w:p>
      <w:pPr>
        <w:pStyle w:val="ListBullet"/>
      </w:pPr>
      <w:r>
        <w:t>Conectar o formulário a um backend ou CRM, com consentimento e política de privacidade reais.</w:t>
      </w:r>
    </w:p>
    <w:p>
      <w:pPr>
        <w:pStyle w:val="ListBullet"/>
      </w:pPr>
      <w:r>
        <w:t>Integrar um CMS para notícias e atualização de cursos/unidades.</w:t>
      </w:r>
    </w:p>
    <w:p>
      <w:pPr>
        <w:pStyle w:val="ListBullet"/>
      </w:pPr>
      <w:r>
        <w:t>Adicionar busca de cursos por nome, turno e duração.</w:t>
      </w:r>
    </w:p>
    <w:p>
      <w:pPr>
        <w:pStyle w:val="ListBullet"/>
      </w:pPr>
      <w:r>
        <w:t>Executar testes automatizados de componentes e testes end-to-end.</w:t>
      </w:r>
    </w:p>
    <w:p>
      <w:pPr>
        <w:pStyle w:val="ListBullet"/>
      </w:pPr>
      <w:r>
        <w:t>Executar Lighthouse após o deploy e registrar métricas antes/depois com a mesma metodologia.</w:t>
      </w:r>
    </w:p>
    <w:p>
      <w:pPr>
        <w:pStyle w:val="ListBullet"/>
      </w:pPr>
      <w:r>
        <w:t>Realizar teste de usabilidade com candidatos e ajustar a página a partir de evidências.</w:t>
      </w:r>
    </w:p>
    <w:p>
      <w:pPr>
        <w:pStyle w:val="ListBullet"/>
      </w:pPr>
      <w:r>
        <w:t>Adicionar analytics somente após configuração de consentimento e privacidade.</w:t>
      </w:r>
    </w:p>
    <w:p>
      <w:pPr>
        <w:pStyle w:val="ListBullet"/>
      </w:pPr>
      <w:r>
        <w:t>Substituir o noindex por index,follow em um cenário de produção oficial.</w:t>
      </w:r>
    </w:p>
    <w:p>
      <w:pPr>
        <w:pStyle w:val="Heading1"/>
      </w:pPr>
      <w:r>
        <w:t>12. Versionamento, GitHub e deploy</w:t>
      </w:r>
    </w:p>
    <w:p>
      <w:r>
        <w:t>O projeto está preparado para versionamento com Git. Como o repositório e o deploy dependem das contas pessoais do aluno, os dois links devem ser preenchidos após a publicação.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5A2CA0"/>
                <w:sz w:val="19"/>
              </w:rPr>
              <w:t>Link do repositório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5A2CA0"/>
                <w:sz w:val="19"/>
              </w:rPr>
              <w:t>Link do deploy</w:t>
            </w:r>
          </w:p>
        </w:tc>
        <w:tc>
          <w:tcPr>
            <w:tcW w:type="dxa" w:w="49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11B2B"/>
                <w:sz w:val="19"/>
              </w:rPr>
              <w:t>____________________________________________</w:t>
            </w:r>
          </w:p>
        </w:tc>
      </w:tr>
    </w:tbl>
    <w:p>
      <w:r>
        <w:t>Sequência sugerida de commits:</w:t>
      </w:r>
    </w:p>
    <w:p>
      <w:pPr>
        <w:pStyle w:val="ListBullet"/>
      </w:pPr>
      <w:r>
        <w:rPr>
          <w:rFonts w:ascii="Consolas" w:hAnsi="Consolas"/>
          <w:sz w:val="17"/>
        </w:rPr>
        <w:t>chore: inicia projeto React com Vite</w:t>
      </w:r>
    </w:p>
    <w:p>
      <w:pPr>
        <w:pStyle w:val="ListBullet"/>
      </w:pPr>
      <w:r>
        <w:rPr>
          <w:rFonts w:ascii="Consolas" w:hAnsi="Consolas"/>
          <w:sz w:val="17"/>
        </w:rPr>
        <w:t>feat: cria header responsivo e hero principal</w:t>
      </w:r>
    </w:p>
    <w:p>
      <w:pPr>
        <w:pStyle w:val="ListBullet"/>
      </w:pPr>
      <w:r>
        <w:rPr>
          <w:rFonts w:ascii="Consolas" w:hAnsi="Consolas"/>
          <w:sz w:val="17"/>
        </w:rPr>
        <w:t>feat: adiciona formas de ingresso e filtro de cursos</w:t>
      </w:r>
    </w:p>
    <w:p>
      <w:pPr>
        <w:pStyle w:val="ListBullet"/>
      </w:pPr>
      <w:r>
        <w:rPr>
          <w:rFonts w:ascii="Consolas" w:hAnsi="Consolas"/>
          <w:sz w:val="17"/>
        </w:rPr>
        <w:t>feat: adiciona sobre, diferenciais e unidades</w:t>
      </w:r>
    </w:p>
    <w:p>
      <w:pPr>
        <w:pStyle w:val="ListBullet"/>
      </w:pPr>
      <w:r>
        <w:rPr>
          <w:rFonts w:ascii="Consolas" w:hAnsi="Consolas"/>
          <w:sz w:val="17"/>
        </w:rPr>
        <w:t>feat: adiciona depoimentos, noticias e formulario de lead</w:t>
      </w:r>
    </w:p>
    <w:p>
      <w:pPr>
        <w:pStyle w:val="ListBullet"/>
      </w:pPr>
      <w:r>
        <w:rPr>
          <w:rFonts w:ascii="Consolas" w:hAnsi="Consolas"/>
          <w:sz w:val="17"/>
        </w:rPr>
        <w:t>style: finaliza responsividade e animacoes</w:t>
      </w:r>
    </w:p>
    <w:p>
      <w:pPr>
        <w:pStyle w:val="ListBullet"/>
      </w:pPr>
      <w:r>
        <w:rPr>
          <w:rFonts w:ascii="Consolas" w:hAnsi="Consolas"/>
          <w:sz w:val="17"/>
        </w:rPr>
        <w:t>perf: otimiza assets e carregamento das ilustracoes</w:t>
      </w:r>
    </w:p>
    <w:p>
      <w:pPr>
        <w:pStyle w:val="ListBullet"/>
      </w:pPr>
      <w:r>
        <w:rPr>
          <w:rFonts w:ascii="Consolas" w:hAnsi="Consolas"/>
          <w:sz w:val="17"/>
        </w:rPr>
        <w:t>seo: adiciona metadados e melhorias semanticas</w:t>
      </w:r>
    </w:p>
    <w:p>
      <w:pPr>
        <w:pStyle w:val="ListBullet"/>
      </w:pPr>
      <w:r>
        <w:rPr>
          <w:rFonts w:ascii="Consolas" w:hAnsi="Consolas"/>
          <w:sz w:val="17"/>
        </w:rPr>
        <w:t>docs: adiciona documentacao tecnica do redesign</w:t>
      </w:r>
    </w:p>
    <w:p>
      <w:pPr>
        <w:pStyle w:val="Heading1"/>
      </w:pPr>
      <w:r>
        <w:t>13. Conclusão</w:t>
      </w:r>
    </w:p>
    <w:p>
      <w:r>
        <w:t>O redesign transforma a página inicial em uma landing page mais orientada à decisão do candidato. A proposta não elimina informações relevantes; ela reorganiza prioridades, reduz a quantidade de escolhas simultâneas e repete um caminho de conversão claro. A componentização em React, os estilos responsivos e o uso de assets vetoriais tornam o projeto simples de manter e adequado a uma entrega acadêmica moderna.</w:t>
      </w:r>
    </w:p>
    <w:p>
      <w:pPr>
        <w:pStyle w:val="Heading1"/>
      </w:pPr>
      <w:r>
        <w:t>14. Fontes consultadas</w:t>
      </w:r>
    </w:p>
    <w:p>
      <w:r>
        <w:rPr>
          <w:b/>
          <w:color w:val="5A2CA0"/>
        </w:rPr>
        <w:t>UNEX — Home institucional</w:t>
      </w:r>
      <w:r>
        <w:t xml:space="preserve"> — https://unex.edu.br/</w:t>
        <w:br/>
        <w:t>Consulta da estrutura da home, formas de ingresso, cursos, depoimentos, unidades e notícias. Acesso em: 08 set. 2026.</w:t>
      </w:r>
    </w:p>
    <w:p>
      <w:r>
        <w:rPr>
          <w:b/>
          <w:color w:val="5A2CA0"/>
        </w:rPr>
        <w:t>UNEX — Graduação</w:t>
      </w:r>
      <w:r>
        <w:t xml:space="preserve"> — https://unex.edu.br/graduacao</w:t>
        <w:br/>
        <w:t>Consulta da listagem de cursos e filtros por área, unidade e duração. Acesso em: 08 set. 2026.</w:t>
      </w:r>
    </w:p>
    <w:p>
      <w:r>
        <w:rPr>
          <w:b/>
          <w:color w:val="5A2CA0"/>
        </w:rPr>
        <w:t>UNEX — Unidades</w:t>
      </w:r>
      <w:r>
        <w:t xml:space="preserve"> — https://unex.edu.br/unidades</w:t>
        <w:br/>
        <w:t>Consulta das quatro unidades: Feira de Santana, Itabuna, Jequié e Vitória da Conquista. Acesso em: 08 set. 2026.</w:t>
      </w:r>
    </w:p>
    <w:p>
      <w:r>
        <w:rPr>
          <w:b/>
          <w:color w:val="5A2CA0"/>
        </w:rPr>
        <w:t>UNEX — A UNEX</w:t>
      </w:r>
      <w:r>
        <w:t xml:space="preserve"> — https://unex.edu.br/a-unex</w:t>
        <w:br/>
        <w:t>Contexto institucional e histórico, utilizado apenas como referência de análise. Acesso em: 08 set.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A6174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5A2CA0"/>
        <w:sz w:val="16"/>
      </w:rPr>
      <w:t>ESTUDO DIRIGIDO  •  REDESIGN DE LANDING PAGE — UNEX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211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215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A2C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215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32155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100"/>
    </w:pPr>
    <w:rPr>
      <w:rFonts w:ascii="Aptos" w:hAnsi="Aptos"/>
      <w:b/>
      <w:color w:val="5A2CA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