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84ju1wvbwelm"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Amarna-Akkadi: aeon slòrslon?</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Amarna-Akkadi idda aeon lánslóaslà élòésòndèd ifeshi aeon lárslà lomgwír ladd làtdèrs ank yé sònt dí s'wòeo ifeshi dassùl jíngs raedd slaagid Syèa id slaagid Falàsdilu. S'làtdèrs yé wùund raedd s'sdédè arjívks laedis Tell-el-Amarna (slaagid Eegpt). Wéy yé yètdèn wíèng s'éign ladd Akhnaton (14 slíndìè pre-Dinai). Savo ren yètdèn raedd yluiwùrim sslíèpt.</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Amarna-Akkadian is a language represented by a large number of letters which were sent to the [pharaoh] by vassal kings in [ancient] Syria and [ancient] Palestine. The letters were found in the state archives of Tell-el-Amarna ([ancient] Egypt). They were written during the reign of Akhnaton (14th century [pre-Dinai]). All are written in [cuneiform] script.</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We do not know much about the origin of the </w:t>
      </w:r>
      <w:r w:rsidDel="00000000" w:rsidR="00000000" w:rsidRPr="00000000">
        <w:rPr>
          <w:rFonts w:ascii="Trebuchet MS" w:cs="Trebuchet MS" w:eastAsia="Trebuchet MS" w:hAnsi="Trebuchet MS"/>
          <w:b w:val="1"/>
          <w:bCs w:val="1"/>
          <w:i w:val="1"/>
          <w:iCs w:val="1"/>
          <w:color w:val="fee6cf"/>
          <w:sz w:val="23"/>
          <w:szCs w:val="23"/>
          <w:rtl w:val="0"/>
        </w:rPr>
        <w:t xml:space="preserve">Amarna-Akkadian jargon</w:t>
      </w:r>
      <w:r w:rsidDel="00000000" w:rsidR="00000000" w:rsidRPr="00000000">
        <w:rPr>
          <w:rFonts w:ascii="Trebuchet MS" w:cs="Trebuchet MS" w:eastAsia="Trebuchet MS" w:hAnsi="Trebuchet MS"/>
          <w:i w:val="1"/>
          <w:iCs w:val="1"/>
          <w:color w:val="fee6cf"/>
          <w:sz w:val="23"/>
          <w:szCs w:val="23"/>
          <w:rtl w:val="0"/>
        </w:rPr>
        <w:t xml:space="preserve">. It is probable that it originated in intellectual circles (scribes) and it is doubtful whether it was ever a spoken language. Its status was not low, otherwise it would not have been used to such an extent in letters to the King.</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color w:val="fee6cf"/>
          <w:sz w:val="20"/>
          <w:szCs w:val="20"/>
          <w:rtl w:val="0"/>
        </w:rPr>
        <w:t xml:space="preserve">Maarten Kossmann </w:t>
      </w:r>
      <w:r w:rsidDel="00000000" w:rsidR="00000000" w:rsidRPr="00000000">
        <w:rPr>
          <w:rFonts w:ascii="Trebuchet MS" w:cs="Trebuchet MS" w:eastAsia="Trebuchet MS" w:hAnsi="Trebuchet MS"/>
          <w:i w:val="1"/>
          <w:iCs w:val="1"/>
          <w:color w:val="fee6cf"/>
          <w:sz w:val="20"/>
          <w:szCs w:val="20"/>
          <w:rtl w:val="0"/>
        </w:rPr>
        <w:t xml:space="preserve">Amarna-Akkadian as a mixed language</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Maarten Kossmann Amarna-Akkadian as a mixed language</w:t>
      </w: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Fudd banslóisdik slàdeunds, s'làtdèrs gwèn gwí wèjewéd indí wùur slàdeups:</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On linguistic grounds, the letters can be divided into four groups:</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làtdèrs raedd aeon lùn-Selèdik lánslóaslà (Hittit vaj Hurrit).</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làtdèrs raedd aeon wòirat jìrékt Akkadi.</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làtdèrs raedd aeon lèksed Akkadi-Hurrit slòrslon.</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làtdèrs raedd aeon lèksed Akkadi-Kananit slòrslon.</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letters in a non-Semitic language (Hittite or Hurrian).</w:t>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letters in a rather correct Akkadian.</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letters in a mixed Akkadian-Hurrian jargon.</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letters in a mixed Akkadian-Canaanite jargon.</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B">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Except for some Akkadian Standard formulaic expressions, clausal and</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sentence syntax are West-Semitic. </w:t>
      </w:r>
      <w:r w:rsidDel="00000000" w:rsidR="00000000" w:rsidRPr="00000000">
        <w:rPr>
          <w:rFonts w:ascii="Trebuchet MS" w:cs="Trebuchet MS" w:eastAsia="Trebuchet MS" w:hAnsi="Trebuchet MS"/>
          <w:b w:val="1"/>
          <w:bCs w:val="1"/>
          <w:i w:val="1"/>
          <w:iCs w:val="1"/>
          <w:color w:val="fee6cf"/>
          <w:sz w:val="23"/>
          <w:szCs w:val="23"/>
          <w:rtl w:val="0"/>
        </w:rPr>
        <w:t xml:space="preserve">Standard Akkadian is a strict SOV</w:t>
      </w:r>
      <w:r w:rsidDel="00000000" w:rsidR="00000000" w:rsidRPr="00000000">
        <w:rPr>
          <w:rFonts w:ascii="Trebuchet MS" w:cs="Trebuchet MS" w:eastAsia="Trebuchet MS" w:hAnsi="Trebuchet MS"/>
          <w:b w:val="1"/>
          <w:bCs w:val="1"/>
          <w:color w:val="fee6cf"/>
          <w:sz w:val="23"/>
          <w:szCs w:val="23"/>
          <w:rtl w:val="0"/>
        </w:rPr>
        <w:t xml:space="preserve"> </w:t>
      </w:r>
      <w:r w:rsidDel="00000000" w:rsidR="00000000" w:rsidRPr="00000000">
        <w:rPr>
          <w:rFonts w:ascii="Trebuchet MS" w:cs="Trebuchet MS" w:eastAsia="Trebuchet MS" w:hAnsi="Trebuchet MS"/>
          <w:b w:val="1"/>
          <w:bCs w:val="1"/>
          <w:i w:val="1"/>
          <w:iCs w:val="1"/>
          <w:color w:val="fee6cf"/>
          <w:sz w:val="23"/>
          <w:szCs w:val="23"/>
          <w:rtl w:val="0"/>
        </w:rPr>
        <w:t xml:space="preserve">language. Amarna-Akkadian almost only uses VSO-based word-order</w:t>
      </w:r>
      <w:r w:rsidDel="00000000" w:rsidR="00000000" w:rsidRPr="00000000">
        <w:rPr>
          <w:rFonts w:ascii="Trebuchet MS" w:cs="Trebuchet MS" w:eastAsia="Trebuchet MS" w:hAnsi="Trebuchet MS"/>
          <w:i w:val="1"/>
          <w:iCs w:val="1"/>
          <w:color w:val="fee6cf"/>
          <w:sz w:val="23"/>
          <w:szCs w:val="23"/>
          <w:rtl w:val="0"/>
        </w:rPr>
        <w:t xml:space="preserve">. The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tense-aspect System is almost exclusively Pre-Kanaanite. Free grammatical</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morphemes may be Akkadian (e.g. the prcpositions) or Pre-Kanaanite (e.g.</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b w:val="1"/>
          <w:bCs w:val="1"/>
          <w:color w:val="fee6cf"/>
          <w:sz w:val="23"/>
          <w:szCs w:val="23"/>
          <w:rtl w:val="0"/>
        </w:rPr>
        <w:t xml:space="preserve">janu </w:t>
      </w:r>
      <w:r w:rsidDel="00000000" w:rsidR="00000000" w:rsidRPr="00000000">
        <w:rPr>
          <w:rFonts w:ascii="Trebuchet MS" w:cs="Trebuchet MS" w:eastAsia="Trebuchet MS" w:hAnsi="Trebuchet MS"/>
          <w:i w:val="1"/>
          <w:iCs w:val="1"/>
          <w:color w:val="fee6cf"/>
          <w:sz w:val="23"/>
          <w:szCs w:val="23"/>
          <w:rtl w:val="0"/>
        </w:rPr>
        <w:t xml:space="preserve">'</w:t>
      </w:r>
      <w:r w:rsidDel="00000000" w:rsidR="00000000" w:rsidRPr="00000000">
        <w:rPr>
          <w:rFonts w:ascii="Trebuchet MS" w:cs="Trebuchet MS" w:eastAsia="Trebuchet MS" w:hAnsi="Trebuchet MS"/>
          <w:color w:val="fee6cf"/>
          <w:sz w:val="23"/>
          <w:szCs w:val="23"/>
          <w:rtl w:val="0"/>
        </w:rPr>
        <w:t xml:space="preserve">there is not</w:t>
      </w: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D">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color w:val="fee6cf"/>
          <w:sz w:val="20"/>
          <w:szCs w:val="20"/>
          <w:rtl w:val="0"/>
        </w:rPr>
        <w:t xml:space="preserve">Maarten Kossmann </w:t>
      </w:r>
      <w:r w:rsidDel="00000000" w:rsidR="00000000" w:rsidRPr="00000000">
        <w:rPr>
          <w:rFonts w:ascii="Trebuchet MS" w:cs="Trebuchet MS" w:eastAsia="Trebuchet MS" w:hAnsi="Trebuchet MS"/>
          <w:i w:val="1"/>
          <w:iCs w:val="1"/>
          <w:color w:val="fee6cf"/>
          <w:sz w:val="20"/>
          <w:szCs w:val="20"/>
          <w:rtl w:val="0"/>
        </w:rPr>
        <w:t xml:space="preserve">Amarna-Akkadian as a mixed language</w:t>
      </w:r>
    </w:p>
    <w:p w:rsidR="00000000" w:rsidDel="00000000" w:rsidP="00000000" w:rsidRDefault="00000000" w:rsidRPr="00000000" w14:paraId="0000001E">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w:t>
      </w:r>
    </w:p>
    <w:p w:rsidR="00000000" w:rsidDel="00000000" w:rsidP="00000000" w:rsidRDefault="00000000" w:rsidRPr="00000000" w14:paraId="0000001F">
      <w:pPr>
        <w:shd w:fill="38160d" w:val="clear"/>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Maarten Kossmann Amarna-Akkadian as a mixed language</w:t>
      </w:r>
    </w:p>
    <w:p w:rsidR="00000000" w:rsidDel="00000000" w:rsidP="00000000" w:rsidRDefault="00000000" w:rsidRPr="00000000" w14:paraId="0000002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Wednesday, January 20, 2010</w:t>
        </w:r>
      </w:hyperlink>
      <w:r w:rsidDel="00000000" w:rsidR="00000000" w:rsidRPr="00000000">
        <w:rPr>
          <w:rtl w:val="0"/>
        </w:rPr>
      </w:r>
    </w:p>
    <w:p w:rsidR="00000000" w:rsidDel="00000000" w:rsidP="00000000" w:rsidRDefault="00000000" w:rsidRPr="00000000" w14:paraId="0000002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Idhun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Technolect</w:t>
        </w:r>
      </w:hyperlink>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Technolect" TargetMode="Externa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search/label/Idhun" TargetMode="External"/><Relationship Id="rId5" Type="http://schemas.openxmlformats.org/officeDocument/2006/relationships/styles" Target="styles.xml"/><Relationship Id="rId6" Type="http://schemas.openxmlformats.org/officeDocument/2006/relationships/hyperlink" Target="https://forgottenlanguages-full.forgottenlanguages.org/2010/01/amarna-akkadi-aeon-slorslon.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amarna-akkadi-aeon-slorsl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