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26"/>
          <w:szCs w:val="26"/>
        </w:rPr>
      </w:pPr>
      <w:bookmarkStart w:colFirst="0" w:colLast="0" w:name="_l5wya98vwokm" w:id="0"/>
      <w:bookmarkEnd w:id="0"/>
      <w:hyperlink r:id="rId6">
        <w:r w:rsidDel="00000000" w:rsidR="00000000" w:rsidRPr="00000000">
          <w:rPr>
            <w:rFonts w:ascii="Trebuchet MS" w:cs="Trebuchet MS" w:eastAsia="Trebuchet MS" w:hAnsi="Trebuchet MS"/>
            <w:b w:val="1"/>
            <w:bCs w:val="1"/>
            <w:color w:val="bd965d"/>
            <w:sz w:val="26"/>
            <w:szCs w:val="26"/>
            <w:rtl w:val="0"/>
          </w:rPr>
          <w:t xml:space="preserve">Gankk sláng</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26"/>
          <w:szCs w:val="26"/>
        </w:rPr>
      </w:pPr>
      <w:r w:rsidDel="00000000" w:rsidR="00000000" w:rsidRPr="00000000">
        <w:rPr>
          <w:rFonts w:ascii="Trebuchet MS" w:cs="Trebuchet MS" w:eastAsia="Trebuchet MS" w:hAnsi="Trebuchet MS"/>
          <w:b w:val="1"/>
          <w:bCs w:val="1"/>
          <w:color w:val="bd965d"/>
          <w:sz w:val="26"/>
          <w:szCs w:val="26"/>
        </w:rPr>
        <w:drawing>
          <wp:inline distB="114300" distT="114300" distL="114300" distR="114300">
            <wp:extent cx="22225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225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Gankk sláng</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Back slang</w:t>
      </w:r>
    </w:p>
    <w:p w:rsidR="00000000" w:rsidDel="00000000" w:rsidP="00000000" w:rsidRDefault="00000000" w:rsidRPr="00000000" w14:paraId="00000006">
      <w:pPr>
        <w:shd w:fill="38160d" w:val="clear"/>
        <w:rPr>
          <w:rFonts w:ascii="Trebuchet MS" w:cs="Trebuchet MS" w:eastAsia="Trebuchet MS" w:hAnsi="Trebuchet MS"/>
          <w:b w:val="1"/>
          <w:bCs w:val="1"/>
          <w:color w:val="fee6cf"/>
          <w:sz w:val="19"/>
          <w:szCs w:val="19"/>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Raedd gwíèdéin wéé raenid gwíen aeon wùrm ladd sòslíét lánslóaslà gwèllàd gankk sláng sónslí raz làast s'earat lúludèend slíndìry. Iz idda émárdèd dí raen gwíen raedd usò raedd slaagid Englánd aling wùod dedenanrs dek issa gwétslírs id slàéenslàdeslírs, id aling sdèéet sòllàrs, ansò nu sòld sloods fedem ganrdews vaj sdélls, eslòjíalat s'jìsdèrlinslàrs nu sòld fesúit, dedeslàdéblàs, id ‘</w:t>
      </w:r>
      <w:r w:rsidDel="00000000" w:rsidR="00000000" w:rsidRPr="00000000">
        <w:rPr>
          <w:rFonts w:ascii="Trebuchet MS" w:cs="Trebuchet MS" w:eastAsia="Trebuchet MS" w:hAnsi="Trebuchet MS"/>
          <w:b w:val="1"/>
          <w:bCs w:val="1"/>
          <w:i w:val="1"/>
          <w:iCs w:val="1"/>
          <w:color w:val="fee6cf"/>
          <w:sz w:val="19"/>
          <w:szCs w:val="19"/>
          <w:rtl w:val="0"/>
        </w:rPr>
        <w:t xml:space="preserve">wús</w:t>
      </w:r>
      <w:r w:rsidDel="00000000" w:rsidR="00000000" w:rsidRPr="00000000">
        <w:rPr>
          <w:rFonts w:ascii="Trebuchet MS" w:cs="Trebuchet MS" w:eastAsia="Trebuchet MS" w:hAnsi="Trebuchet MS"/>
          <w:b w:val="1"/>
          <w:bCs w:val="1"/>
          <w:color w:val="fee6cf"/>
          <w:sz w:val="19"/>
          <w:szCs w:val="19"/>
          <w:rtl w:val="0"/>
        </w:rPr>
        <w:t xml:space="preserve">’ (‘</w:t>
      </w:r>
      <w:r w:rsidDel="00000000" w:rsidR="00000000" w:rsidRPr="00000000">
        <w:rPr>
          <w:rFonts w:ascii="Trebuchet MS" w:cs="Trebuchet MS" w:eastAsia="Trebuchet MS" w:hAnsi="Trebuchet MS"/>
          <w:b w:val="1"/>
          <w:bCs w:val="1"/>
          <w:i w:val="1"/>
          <w:iCs w:val="1"/>
          <w:color w:val="fee6cf"/>
          <w:sz w:val="19"/>
          <w:szCs w:val="19"/>
          <w:rtl w:val="0"/>
        </w:rPr>
        <w:t xml:space="preserve">sòawùod</w:t>
      </w:r>
      <w:r w:rsidDel="00000000" w:rsidR="00000000" w:rsidRPr="00000000">
        <w:rPr>
          <w:rFonts w:ascii="Trebuchet MS" w:cs="Trebuchet MS" w:eastAsia="Trebuchet MS" w:hAnsi="Trebuchet MS"/>
          <w:b w:val="1"/>
          <w:bCs w:val="1"/>
          <w:color w:val="fee6cf"/>
          <w:sz w:val="19"/>
          <w:szCs w:val="19"/>
          <w:rtl w:val="0"/>
        </w:rPr>
        <w:t xml:space="preserve">’ raedd yrént dèrlèlùzágy). Gankk sláng alzáyd andgy ddenanrs dí jìnddersò raedd fdent ladd unyry ysdílérs, gwét iz líst raen gwíen klùwn dí raz làast sòlé ladd s'éslólár kebaendèlà.</w:t>
      </w:r>
    </w:p>
    <w:p w:rsidR="00000000" w:rsidDel="00000000" w:rsidP="00000000" w:rsidRDefault="00000000" w:rsidRPr="00000000" w14:paraId="00000008">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w:t>
      </w:r>
    </w:p>
    <w:p w:rsidR="00000000" w:rsidDel="00000000" w:rsidP="00000000" w:rsidRDefault="00000000" w:rsidRPr="00000000" w14:paraId="00000009">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In Britain there has been a form of secret language called back slang since at least the early [nineteenth] century. It is reported to have been in use in [Victorian] England among food [vendors] such as [butchers] and [greengrocers], and among street [sellers], those who sold [goods] from [barrows] or [stalls], especially the [costermongers] who sold [fruit], [vegetables], and ‘wus’ (‘seafood’ in current terminology). Back slang allowed [underworld] [vendors] to converse in front of [unwary] [costumers], but it must have been known to at least some of the regular [clientele].</w:t>
      </w:r>
    </w:p>
    <w:p w:rsidR="00000000" w:rsidDel="00000000" w:rsidP="00000000" w:rsidRDefault="00000000" w:rsidRPr="00000000" w14:paraId="0000000A">
      <w:pPr>
        <w:shd w:fill="38160d" w:val="clear"/>
        <w:rPr>
          <w:rFonts w:ascii="Trebuchet MS" w:cs="Trebuchet MS" w:eastAsia="Trebuchet MS" w:hAnsi="Trebuchet MS"/>
          <w:b w:val="1"/>
          <w:bCs w:val="1"/>
          <w:color w:val="fee6cf"/>
          <w:sz w:val="19"/>
          <w:szCs w:val="19"/>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Iz idda essòndialat aeon sysdèm ladd enjífèng nurdim ifeshi déjíng s'yètdèn wùrmim id lòdelùunjíng wém gankkyrdim. Iz ésòmblàs s'eiyy lánslóaslàim vaj sòslíét lánslóaslàim wésslíègwíd ládèr raedd wès gwèpdèr, ank intuldde sysdèledik wùlùzáslegwèl aldèedion ladd nurdim, gwét idda gansòd fudd engbas slòlbang id idda wééwùé aeon zát làss sysdèledik yn list owér ‘</w:t>
      </w:r>
      <w:r w:rsidDel="00000000" w:rsidR="00000000" w:rsidRPr="00000000">
        <w:rPr>
          <w:rFonts w:ascii="Trebuchet MS" w:cs="Trebuchet MS" w:eastAsia="Trebuchet MS" w:hAnsi="Trebuchet MS"/>
          <w:b w:val="1"/>
          <w:bCs w:val="1"/>
          <w:i w:val="1"/>
          <w:iCs w:val="1"/>
          <w:color w:val="fee6cf"/>
          <w:sz w:val="19"/>
          <w:szCs w:val="19"/>
          <w:rtl w:val="0"/>
        </w:rPr>
        <w:t xml:space="preserve">sòslíét lánslóaslàim</w:t>
      </w:r>
      <w:r w:rsidDel="00000000" w:rsidR="00000000" w:rsidRPr="00000000">
        <w:rPr>
          <w:rFonts w:ascii="Trebuchet MS" w:cs="Trebuchet MS" w:eastAsia="Trebuchet MS" w:hAnsi="Trebuchet MS"/>
          <w:b w:val="1"/>
          <w:bCs w:val="1"/>
          <w:color w:val="fee6cf"/>
          <w:sz w:val="19"/>
          <w:szCs w:val="19"/>
          <w:rtl w:val="0"/>
        </w:rPr>
        <w:t xml:space="preserve">’.</w:t>
      </w:r>
    </w:p>
    <w:p w:rsidR="00000000" w:rsidDel="00000000" w:rsidP="00000000" w:rsidRDefault="00000000" w:rsidRPr="00000000" w14:paraId="0000000C">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w:t>
      </w:r>
    </w:p>
    <w:p w:rsidR="00000000" w:rsidDel="00000000" w:rsidP="00000000" w:rsidRDefault="00000000" w:rsidRPr="00000000" w14:paraId="0000000D">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It is essentially a system of enciphering words by taking the written forms and [pronouncing] them [backwards]. It resembles the [anti]-languages or secret languages described later in this chapter, which involve systematic phonological alteration of words, but it is based on english spelling and it is therefore quite less systematic than most other ‘secret languages’.</w:t>
      </w:r>
    </w:p>
    <w:p w:rsidR="00000000" w:rsidDel="00000000" w:rsidP="00000000" w:rsidRDefault="00000000" w:rsidRPr="00000000" w14:paraId="0000000E">
      <w:pPr>
        <w:shd w:fill="38160d" w:val="clear"/>
        <w:rPr>
          <w:rFonts w:ascii="Trebuchet MS" w:cs="Trebuchet MS" w:eastAsia="Trebuchet MS" w:hAnsi="Trebuchet MS"/>
          <w:b w:val="1"/>
          <w:bCs w:val="1"/>
          <w:color w:val="fee6cf"/>
          <w:sz w:val="19"/>
          <w:szCs w:val="19"/>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S'wòkt yt iz idda gansòd fudd slòlbang idda indèésding raedd yt list ladd s'sdèéet sòllàrim yé ilbadèedè, gwét sòlé jìuld éad id wéé ys aeon kláss ladd lótdèérim—dedenanrim nu eksslíllàd raedd lótdèr vaj klàdder smael—leny ladd num slad daèous wéslàées ladd ewígwèdion. Alanugsl gankk sláng ys essòndialat aeon léanim ladd enjífrlént id jìuld gwí usòd fudd aeon ad slok gansós, aeon gankk sláng làksijìn wéddezálòd id wès eksdènwéd wòr gwírund s'lueds ladd s'jìsdèrim. Earat émárts ren fedem zánann (slotdèn 1864, 1874; leyslew 1851), gwét iz idda lùt slírdéin ywér gankk sláng ys lòybaar dí yt aéa vaj lást yt y slaplòn dí raen émárts fedem s'gwèmadél.</w:t>
      </w:r>
    </w:p>
    <w:p w:rsidR="00000000" w:rsidDel="00000000" w:rsidP="00000000" w:rsidRDefault="00000000" w:rsidRPr="00000000" w14:paraId="00000010">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w:t>
      </w:r>
    </w:p>
    <w:p w:rsidR="00000000" w:rsidDel="00000000" w:rsidP="00000000" w:rsidRDefault="00000000" w:rsidRPr="00000000" w14:paraId="00000011">
      <w:pPr>
        <w:shd w:fill="38160d" w:val="clear"/>
        <w:rPr>
          <w:rFonts w:ascii="Trebuchet MS" w:cs="Trebuchet MS" w:eastAsia="Trebuchet MS" w:hAnsi="Trebuchet MS"/>
          <w:b w:val="1"/>
          <w:bCs w:val="1"/>
          <w:color w:val="fee6cf"/>
          <w:sz w:val="19"/>
          <w:szCs w:val="19"/>
        </w:rPr>
      </w:pPr>
      <w:r w:rsidDel="00000000" w:rsidR="00000000" w:rsidRPr="00000000">
        <w:rPr>
          <w:rFonts w:ascii="Trebuchet MS" w:cs="Trebuchet MS" w:eastAsia="Trebuchet MS" w:hAnsi="Trebuchet MS"/>
          <w:b w:val="1"/>
          <w:bCs w:val="1"/>
          <w:color w:val="fee6cf"/>
          <w:sz w:val="19"/>
          <w:szCs w:val="19"/>
          <w:rtl w:val="0"/>
        </w:rPr>
        <w:t xml:space="preserve">The fact that it is based on spelling is interesting in that most of the street [sellers] were illiterate, but some could read and there was a class of [patterers]—[vendors] who excelled in patter or clever [spiel]—many of whom had various degrees of education. Although back slang is essentially a means of [encipherment] and could be used on an ad hoc basis, a back slang lexicon developed and this extended far beyond the needs of the [costers]. Early reports are from Hotten (1864, 1874; Mayhew 1851), but it is not certain whether back slang was [peculiar] to that area or just that it happened to have reports from the capital.</w:t>
      </w:r>
    </w:p>
    <w:p w:rsidR="00000000" w:rsidDel="00000000" w:rsidP="00000000" w:rsidRDefault="00000000" w:rsidRPr="00000000" w14:paraId="00000012">
      <w:pPr>
        <w:shd w:fill="38160d" w:val="clear"/>
        <w:rPr>
          <w:rFonts w:ascii="Trebuchet MS" w:cs="Trebuchet MS" w:eastAsia="Trebuchet MS" w:hAnsi="Trebuchet MS"/>
          <w:b w:val="1"/>
          <w:bCs w:val="1"/>
          <w:color w:val="fee6cf"/>
          <w:sz w:val="19"/>
          <w:szCs w:val="19"/>
        </w:rPr>
      </w:pPr>
      <w:r w:rsidDel="00000000" w:rsidR="00000000" w:rsidRPr="00000000">
        <w:rPr>
          <w:rtl w:val="0"/>
        </w:rPr>
      </w:r>
    </w:p>
    <w:p w:rsidR="00000000" w:rsidDel="00000000" w:rsidP="00000000" w:rsidRDefault="00000000" w:rsidRPr="00000000" w14:paraId="00000013">
      <w:pPr>
        <w:numPr>
          <w:ilvl w:val="0"/>
          <w:numId w:val="1"/>
        </w:numPr>
        <w:spacing w:after="0" w:afterAutospacing="0" w:before="18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Bruce, S.G. (2007).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Silence and Sign Language in Medieval Monasticism: The Cluniac Tradition</w:t>
      </w:r>
      <w:r w:rsidDel="00000000" w:rsidR="00000000" w:rsidRPr="00000000">
        <w:rPr>
          <w:rFonts w:ascii="Trebuchet MS" w:cs="Trebuchet MS" w:eastAsia="Trebuchet MS" w:hAnsi="Trebuchet MS"/>
          <w:b w:val="1"/>
          <w:bCs w:val="1"/>
          <w:color w:val="fee6cf"/>
          <w:sz w:val="19"/>
          <w:szCs w:val="19"/>
          <w:shd w:fill="38160d" w:val="clear"/>
          <w:rtl w:val="0"/>
        </w:rPr>
        <w:t xml:space="preserve">. Cambridge: Cambridge University Press.</w:t>
      </w:r>
    </w:p>
    <w:p w:rsidR="00000000" w:rsidDel="00000000" w:rsidP="00000000" w:rsidRDefault="00000000" w:rsidRPr="00000000" w14:paraId="00000014">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Clark, S. (2002).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‘Witchcraft and Magic in Early Modern Culture’</w:t>
      </w:r>
      <w:r w:rsidDel="00000000" w:rsidR="00000000" w:rsidRPr="00000000">
        <w:rPr>
          <w:rFonts w:ascii="Trebuchet MS" w:cs="Trebuchet MS" w:eastAsia="Trebuchet MS" w:hAnsi="Trebuchet MS"/>
          <w:b w:val="1"/>
          <w:bCs w:val="1"/>
          <w:color w:val="fee6cf"/>
          <w:sz w:val="19"/>
          <w:szCs w:val="19"/>
          <w:shd w:fill="38160d" w:val="clear"/>
          <w:rtl w:val="0"/>
        </w:rPr>
        <w:t xml:space="preserve">, in B. Ankarloo, S. Clark, and W. Monter, Witchcraft and Magic in Europe, vol. 4: The Period of the Witch Trials. London: Athlone, 97–169.</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Elliott, R. (1957).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‘Runes, Yews, and Magic.’</w:t>
      </w:r>
      <w:r w:rsidDel="00000000" w:rsidR="00000000" w:rsidRPr="00000000">
        <w:rPr>
          <w:rFonts w:ascii="Trebuchet MS" w:cs="Trebuchet MS" w:eastAsia="Trebuchet MS" w:hAnsi="Trebuchet MS"/>
          <w:b w:val="1"/>
          <w:bCs w:val="1"/>
          <w:color w:val="fee6cf"/>
          <w:sz w:val="19"/>
          <w:szCs w:val="19"/>
          <w:shd w:fill="38160d" w:val="clear"/>
          <w:rtl w:val="0"/>
        </w:rPr>
        <w:t xml:space="preserve"> Speculum 32.2:250–61.</w:t>
      </w:r>
    </w:p>
    <w:p w:rsidR="00000000" w:rsidDel="00000000" w:rsidP="00000000" w:rsidRDefault="00000000" w:rsidRPr="00000000" w14:paraId="00000016">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Gager, J.G. (ed.) (1992).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Curse Tablets and Binding Spells in the Ancient World</w:t>
      </w:r>
      <w:r w:rsidDel="00000000" w:rsidR="00000000" w:rsidRPr="00000000">
        <w:rPr>
          <w:rFonts w:ascii="Trebuchet MS" w:cs="Trebuchet MS" w:eastAsia="Trebuchet MS" w:hAnsi="Trebuchet MS"/>
          <w:b w:val="1"/>
          <w:bCs w:val="1"/>
          <w:color w:val="fee6cf"/>
          <w:sz w:val="19"/>
          <w:szCs w:val="19"/>
          <w:shd w:fill="38160d" w:val="clear"/>
          <w:rtl w:val="0"/>
        </w:rPr>
        <w:t xml:space="preserve">. New York: Oxford University Press.</w:t>
      </w:r>
    </w:p>
    <w:p w:rsidR="00000000" w:rsidDel="00000000" w:rsidP="00000000" w:rsidRDefault="00000000" w:rsidRPr="00000000" w14:paraId="00000017">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Halliday, M.A.K. (1976).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‘Anti-Languages’</w:t>
      </w:r>
      <w:r w:rsidDel="00000000" w:rsidR="00000000" w:rsidRPr="00000000">
        <w:rPr>
          <w:rFonts w:ascii="Trebuchet MS" w:cs="Trebuchet MS" w:eastAsia="Trebuchet MS" w:hAnsi="Trebuchet MS"/>
          <w:b w:val="1"/>
          <w:bCs w:val="1"/>
          <w:color w:val="fee6cf"/>
          <w:sz w:val="19"/>
          <w:szCs w:val="19"/>
          <w:shd w:fill="38160d" w:val="clear"/>
          <w:rtl w:val="0"/>
        </w:rPr>
        <w:t xml:space="preserve">. American Anthropologist (New Series) 78: 570–84.</w:t>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Luck, G. (1985).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Arcana Mundi: Magic and the Occult in the Greek and Roman Worlds</w:t>
      </w:r>
      <w:r w:rsidDel="00000000" w:rsidR="00000000" w:rsidRPr="00000000">
        <w:rPr>
          <w:rFonts w:ascii="Trebuchet MS" w:cs="Trebuchet MS" w:eastAsia="Trebuchet MS" w:hAnsi="Trebuchet MS"/>
          <w:b w:val="1"/>
          <w:bCs w:val="1"/>
          <w:color w:val="fee6cf"/>
          <w:sz w:val="19"/>
          <w:szCs w:val="19"/>
          <w:shd w:fill="38160d" w:val="clear"/>
          <w:rtl w:val="0"/>
        </w:rPr>
        <w:t xml:space="preserve">. Baltimore: Johns Hopkins University Press.</w:t>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Ostler, N. (2007).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Ad Infinitum: A Biography of Latin</w:t>
      </w:r>
      <w:r w:rsidDel="00000000" w:rsidR="00000000" w:rsidRPr="00000000">
        <w:rPr>
          <w:rFonts w:ascii="Trebuchet MS" w:cs="Trebuchet MS" w:eastAsia="Trebuchet MS" w:hAnsi="Trebuchet MS"/>
          <w:b w:val="1"/>
          <w:bCs w:val="1"/>
          <w:color w:val="fee6cf"/>
          <w:sz w:val="19"/>
          <w:szCs w:val="19"/>
          <w:shd w:fill="38160d" w:val="clear"/>
          <w:rtl w:val="0"/>
        </w:rPr>
        <w:t xml:space="preserve">. London: Harper.</w:t>
      </w:r>
    </w:p>
    <w:p w:rsidR="00000000" w:rsidDel="00000000" w:rsidP="00000000" w:rsidRDefault="00000000" w:rsidRPr="00000000" w14:paraId="0000001A">
      <w:pPr>
        <w:numPr>
          <w:ilvl w:val="0"/>
          <w:numId w:val="1"/>
        </w:numPr>
        <w:spacing w:after="0" w:afterAutospacing="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Singh, S. (1999).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The Code Book: The Science of Secrecy from Ancient Egypt to Quantum Cryptography</w:t>
      </w:r>
      <w:r w:rsidDel="00000000" w:rsidR="00000000" w:rsidRPr="00000000">
        <w:rPr>
          <w:rFonts w:ascii="Trebuchet MS" w:cs="Trebuchet MS" w:eastAsia="Trebuchet MS" w:hAnsi="Trebuchet MS"/>
          <w:b w:val="1"/>
          <w:bCs w:val="1"/>
          <w:color w:val="fee6cf"/>
          <w:sz w:val="19"/>
          <w:szCs w:val="19"/>
          <w:shd w:fill="38160d" w:val="clear"/>
          <w:rtl w:val="0"/>
        </w:rPr>
        <w:t xml:space="preserve">. New York: Anchor Books (Random House).</w:t>
      </w:r>
    </w:p>
    <w:p w:rsidR="00000000" w:rsidDel="00000000" w:rsidP="00000000" w:rsidRDefault="00000000" w:rsidRPr="00000000" w14:paraId="0000001B">
      <w:pPr>
        <w:numPr>
          <w:ilvl w:val="0"/>
          <w:numId w:val="1"/>
        </w:numPr>
        <w:spacing w:after="180" w:before="0" w:beforeAutospacing="0" w:lineRule="auto"/>
        <w:ind w:left="720" w:hanging="360"/>
        <w:rPr>
          <w:b w:val="1"/>
          <w:bCs w:val="1"/>
          <w:shd w:fill="38160d" w:val="clear"/>
        </w:rPr>
      </w:pPr>
      <w:r w:rsidDel="00000000" w:rsidR="00000000" w:rsidRPr="00000000">
        <w:rPr>
          <w:rFonts w:ascii="Trebuchet MS" w:cs="Trebuchet MS" w:eastAsia="Trebuchet MS" w:hAnsi="Trebuchet MS"/>
          <w:b w:val="1"/>
          <w:bCs w:val="1"/>
          <w:color w:val="fee6cf"/>
          <w:sz w:val="19"/>
          <w:szCs w:val="19"/>
          <w:shd w:fill="38160d" w:val="clear"/>
          <w:rtl w:val="0"/>
        </w:rPr>
        <w:t xml:space="preserve">Westcott, W.W. (1910). </w:t>
      </w:r>
      <w:r w:rsidDel="00000000" w:rsidR="00000000" w:rsidRPr="00000000">
        <w:rPr>
          <w:rFonts w:ascii="Trebuchet MS" w:cs="Trebuchet MS" w:eastAsia="Trebuchet MS" w:hAnsi="Trebuchet MS"/>
          <w:b w:val="1"/>
          <w:bCs w:val="1"/>
          <w:i w:val="1"/>
          <w:iCs w:val="1"/>
          <w:color w:val="fee6cf"/>
          <w:sz w:val="19"/>
          <w:szCs w:val="19"/>
          <w:shd w:fill="38160d" w:val="clear"/>
          <w:rtl w:val="0"/>
        </w:rPr>
        <w:t xml:space="preserve">An Introduction to the Kabalah</w:t>
      </w:r>
      <w:r w:rsidDel="00000000" w:rsidR="00000000" w:rsidRPr="00000000">
        <w:rPr>
          <w:rFonts w:ascii="Trebuchet MS" w:cs="Trebuchet MS" w:eastAsia="Trebuchet MS" w:hAnsi="Trebuchet MS"/>
          <w:b w:val="1"/>
          <w:bCs w:val="1"/>
          <w:color w:val="fee6cf"/>
          <w:sz w:val="19"/>
          <w:szCs w:val="19"/>
          <w:shd w:fill="38160d" w:val="clear"/>
          <w:rtl w:val="0"/>
        </w:rPr>
        <w:t xml:space="preserve">. Whitefish MT: Kessinger.</w:t>
      </w:r>
    </w:p>
    <w:p w:rsidR="00000000" w:rsidDel="00000000" w:rsidP="00000000" w:rsidRDefault="00000000" w:rsidRPr="00000000" w14:paraId="0000001C">
      <w:pPr>
        <w:shd w:fill="38160d" w:val="clear"/>
        <w:spacing w:line="360" w:lineRule="auto"/>
        <w:jc w:val="right"/>
        <w:rPr>
          <w:rFonts w:ascii="Trebuchet MS" w:cs="Trebuchet MS" w:eastAsia="Trebuchet MS" w:hAnsi="Trebuchet MS"/>
          <w:b w:val="1"/>
          <w:bCs w:val="1"/>
          <w:color w:val="db956a"/>
          <w:sz w:val="19"/>
          <w:szCs w:val="19"/>
        </w:rPr>
      </w:pPr>
      <w:r w:rsidDel="00000000" w:rsidR="00000000" w:rsidRPr="00000000">
        <w:rPr>
          <w:rFonts w:ascii="Trebuchet MS" w:cs="Trebuchet MS" w:eastAsia="Trebuchet MS" w:hAnsi="Trebuchet MS"/>
          <w:b w:val="1"/>
          <w:bCs w:val="1"/>
          <w:color w:val="d19742"/>
          <w:sz w:val="19"/>
          <w:szCs w:val="19"/>
          <w:rtl w:val="0"/>
        </w:rPr>
        <w:t xml:space="preserve">by Ayndryl on </w:t>
      </w:r>
      <w:hyperlink r:id="rId8">
        <w:r w:rsidDel="00000000" w:rsidR="00000000" w:rsidRPr="00000000">
          <w:rPr>
            <w:rFonts w:ascii="Trebuchet MS" w:cs="Trebuchet MS" w:eastAsia="Trebuchet MS" w:hAnsi="Trebuchet MS"/>
            <w:b w:val="1"/>
            <w:bCs w:val="1"/>
            <w:color w:val="db956a"/>
            <w:sz w:val="19"/>
            <w:szCs w:val="19"/>
            <w:rtl w:val="0"/>
          </w:rPr>
          <w:t xml:space="preserve">Sunday, May 09, 2010</w:t>
        </w:r>
      </w:hyperlink>
      <w:r w:rsidDel="00000000" w:rsidR="00000000" w:rsidRPr="00000000">
        <w:rPr>
          <w:rtl w:val="0"/>
        </w:rPr>
      </w:r>
    </w:p>
    <w:p w:rsidR="00000000" w:rsidDel="00000000" w:rsidP="00000000" w:rsidRDefault="00000000" w:rsidRPr="00000000" w14:paraId="0000001D">
      <w:pPr>
        <w:shd w:fill="38160d" w:val="clear"/>
        <w:spacing w:line="360" w:lineRule="auto"/>
        <w:jc w:val="right"/>
        <w:rPr>
          <w:rFonts w:ascii="Trebuchet MS" w:cs="Trebuchet MS" w:eastAsia="Trebuchet MS" w:hAnsi="Trebuchet MS"/>
          <w:b w:val="1"/>
          <w:bCs w:val="1"/>
          <w:color w:val="ffffff"/>
          <w:sz w:val="25"/>
          <w:szCs w:val="25"/>
        </w:rPr>
      </w:pPr>
      <w:r w:rsidDel="00000000" w:rsidR="00000000" w:rsidRPr="00000000">
        <w:rPr>
          <w:rFonts w:ascii="Trebuchet MS" w:cs="Trebuchet MS" w:eastAsia="Trebuchet MS" w:hAnsi="Trebuchet MS"/>
          <w:b w:val="1"/>
          <w:bCs w:val="1"/>
          <w:color w:val="d19742"/>
          <w:sz w:val="19"/>
          <w:szCs w:val="19"/>
          <w:rtl w:val="0"/>
        </w:rPr>
        <w:t xml:space="preserve">Labels </w:t>
      </w:r>
      <w:hyperlink r:id="rId9">
        <w:r w:rsidDel="00000000" w:rsidR="00000000" w:rsidRPr="00000000">
          <w:rPr>
            <w:rFonts w:ascii="Trebuchet MS" w:cs="Trebuchet MS" w:eastAsia="Trebuchet MS" w:hAnsi="Trebuchet MS"/>
            <w:b w:val="1"/>
            <w:bCs w:val="1"/>
            <w:color w:val="db956a"/>
            <w:sz w:val="19"/>
            <w:szCs w:val="19"/>
            <w:rtl w:val="0"/>
          </w:rPr>
          <w:t xml:space="preserve">Ladd cryptolect </w:t>
        </w:r>
      </w:hyperlink>
      <w:r w:rsidDel="00000000" w:rsidR="00000000" w:rsidRPr="00000000">
        <w:rPr>
          <w:rFonts w:ascii="Trebuchet MS" w:cs="Trebuchet MS" w:eastAsia="Trebuchet MS" w:hAnsi="Trebuchet MS"/>
          <w:b w:val="1"/>
          <w:bCs w:val="1"/>
          <w:color w:val="d19742"/>
          <w:sz w:val="19"/>
          <w:szCs w:val="19"/>
          <w:rtl w:val="0"/>
        </w:rPr>
        <w:t xml:space="preserve">, </w:t>
      </w:r>
      <w:hyperlink r:id="rId10">
        <w:r w:rsidDel="00000000" w:rsidR="00000000" w:rsidRPr="00000000">
          <w:rPr>
            <w:rFonts w:ascii="Trebuchet MS" w:cs="Trebuchet MS" w:eastAsia="Trebuchet MS" w:hAnsi="Trebuchet MS"/>
            <w:b w:val="1"/>
            <w:bCs w:val="1"/>
            <w:color w:val="db956a"/>
            <w:sz w:val="19"/>
            <w:szCs w:val="19"/>
            <w:rtl w:val="0"/>
          </w:rPr>
          <w:t xml:space="preserve">Millangivm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rebuchet MS" w:cs="Trebuchet MS" w:eastAsia="Trebuchet MS" w:hAnsi="Trebuchet MS"/>
        <w:color w:val="fee6cf"/>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Millangivm"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5/gankk-slang.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5/gankk-sla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