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oq7af6qgfqbd"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Nahum and the secrecy paradigm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835400"/>
            <wp:effectExtent b="0" l="0" r="0" t="0"/>
            <wp:docPr descr="Nahum Cover" id="1" name="image1.jpg"/>
            <a:graphic>
              <a:graphicData uri="http://schemas.openxmlformats.org/drawingml/2006/picture">
                <pic:pic>
                  <pic:nvPicPr>
                    <pic:cNvPr descr="Nahum Cover" id="0" name="image1.jpg"/>
                    <pic:cNvPicPr preferRelativeResize="0"/>
                  </pic:nvPicPr>
                  <pic:blipFill>
                    <a:blip r:embed="rId7"/>
                    <a:srcRect b="0" l="0" r="0" t="0"/>
                    <a:stretch>
                      <a:fillRect/>
                    </a:stretch>
                  </pic:blipFill>
                  <pic:spPr>
                    <a:xfrm>
                      <a:off x="0" y="0"/>
                      <a:ext cx="2184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Nahum and the secrecy paradigm</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Raen arslóed elsòyé yt Nahum lòdeft léndions sòlé ddery sdèèjíng id lòdeganbat ddery akyedè wésslíèpdions ladd s'wòll laedis lúluddesl:</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has been argued elsewhere that the prophet Nahum mentions some very [striking] and probably very accurate descriptions of the fall of Nineveh:</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B">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key to understanding this difficult prophecy is the realization that Nahum is a lament.</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Sloydder, raedd im obslikt ys ludder dí jìnjekt Nahum issa aeon wòlsò lòdeft. Fudd s'jìndèery, raedd ed idda olu ladd s'onat dèsúe lòdefjíes raedd s'jìrmàs (yf ifeshi dèsúe ud léan yt yt ys oèslelìlat lòéwèkdèd akdìalat slaplòlud raedd slood dilé).</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However, in my opinion it is never to [interpret] Nahum as a [false] prophet. On the contrary, indeed it is one of the only true prophecies in the corpus (if by true you mean that what was originally predicted actually happened in short time).</w:t>
      </w:r>
    </w:p>
    <w:p w:rsidR="00000000" w:rsidDel="00000000" w:rsidP="00000000" w:rsidRDefault="00000000" w:rsidRPr="00000000" w14:paraId="00000011">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Raz olu làddel, Nahum idda lást aeon wésslíèpdion ladd yt slaplòlud yn s'ganbyzálúans (wé yrèors “</w:t>
      </w:r>
      <w:r w:rsidDel="00000000" w:rsidR="00000000" w:rsidRPr="00000000">
        <w:rPr>
          <w:rFonts w:ascii="Trebuchet MS" w:cs="Trebuchet MS" w:eastAsia="Trebuchet MS" w:hAnsi="Trebuchet MS"/>
          <w:i w:val="1"/>
          <w:iCs w:val="1"/>
          <w:color w:val="fee6cf"/>
          <w:sz w:val="23"/>
          <w:szCs w:val="23"/>
          <w:rtl w:val="0"/>
        </w:rPr>
        <w:t xml:space="preserve">kzáwéd raedd slíèmsòn</w:t>
      </w:r>
      <w:r w:rsidDel="00000000" w:rsidR="00000000" w:rsidRPr="00000000">
        <w:rPr>
          <w:rFonts w:ascii="Trebuchet MS" w:cs="Trebuchet MS" w:eastAsia="Trebuchet MS" w:hAnsi="Trebuchet MS"/>
          <w:color w:val="fee6cf"/>
          <w:sz w:val="23"/>
          <w:szCs w:val="23"/>
          <w:rtl w:val="0"/>
        </w:rPr>
        <w:t xml:space="preserve">”) díok aeon ewér dérdy éddenslà sha sònlìslíèb’s dèéatlént ladd ganbyzán. Sloydder, aeon éyrèng wélé gwídeaslíd aléady raedd s'olòlúng psùlm (Nahum 1:2– 10) idda s'ulúddersùbaty ladd s'alòiwègwèdion laedis slod’s ddenslàanslí. </w:t>
      </w:r>
      <w:r w:rsidDel="00000000" w:rsidR="00000000" w:rsidRPr="00000000">
        <w:rPr>
          <w:rFonts w:ascii="Trebuchet MS" w:cs="Trebuchet MS" w:eastAsia="Trebuchet MS" w:hAnsi="Trebuchet MS"/>
          <w:i w:val="1"/>
          <w:iCs w:val="1"/>
          <w:color w:val="fee6cf"/>
          <w:sz w:val="23"/>
          <w:szCs w:val="23"/>
          <w:rtl w:val="0"/>
        </w:rPr>
        <w:t xml:space="preserve">“Nu gwèn sdénd gwíwùé raedd ed yed? Nu gwèn ésóst raedd ed slary?”</w:t>
      </w:r>
      <w:r w:rsidDel="00000000" w:rsidR="00000000" w:rsidRPr="00000000">
        <w:rPr>
          <w:rFonts w:ascii="Trebuchet MS" w:cs="Trebuchet MS" w:eastAsia="Trebuchet MS" w:hAnsi="Trebuchet MS"/>
          <w:color w:val="fee6cf"/>
          <w:sz w:val="23"/>
          <w:szCs w:val="23"/>
          <w:rtl w:val="0"/>
        </w:rPr>
        <w:t xml:space="preserve"> anwèn ank idda emgwídwéd aeon olèlùus yrlúng: </w:t>
      </w:r>
      <w:r w:rsidDel="00000000" w:rsidR="00000000" w:rsidRPr="00000000">
        <w:rPr>
          <w:rFonts w:ascii="Trebuchet MS" w:cs="Trebuchet MS" w:eastAsia="Trebuchet MS" w:hAnsi="Trebuchet MS"/>
          <w:i w:val="1"/>
          <w:iCs w:val="1"/>
          <w:color w:val="fee6cf"/>
          <w:sz w:val="23"/>
          <w:szCs w:val="23"/>
          <w:rtl w:val="0"/>
        </w:rPr>
        <w:t xml:space="preserve">“wy sid ud eiant asláinst s'zárd? Ed yéaks utdèr wésdèsúkdion: lù adddersùry opmásòs slim tanslí!”</w:t>
      </w:r>
    </w:p>
    <w:p w:rsidR="00000000" w:rsidDel="00000000" w:rsidP="00000000" w:rsidRDefault="00000000" w:rsidRPr="00000000" w14:paraId="00000012">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At one [level], Nahum is just a description of what happened when the Babylonians (the warriors “[clothed] in crimson”) took an [even] [dirtier] [revenge] for Sennacherib’s treatment of Babylon. However, a [recurring, defining] value was [described] already in the [opening] psalm (Nahum 1:2– 10) is the universality of the [application] of God’s vengeance. “Who can stand before his anger? Who can resist his fury?” within which is embedded a solemn warning: “why will you plot against the LORD? He makes utter destruction: no adversary opposes him twice!”</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5">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Nahum 3:5</w:t>
      </w:r>
      <w:r w:rsidDel="00000000" w:rsidR="00000000" w:rsidRPr="00000000">
        <w:rPr>
          <w:rFonts w:ascii="Trebuchet MS" w:cs="Trebuchet MS" w:eastAsia="Trebuchet MS" w:hAnsi="Trebuchet MS"/>
          <w:color w:val="fee6cf"/>
          <w:sz w:val="23"/>
          <w:szCs w:val="23"/>
          <w:rtl w:val="0"/>
        </w:rPr>
        <w:t xml:space="preserve"> </w:t>
        <w:br w:type="textWrapping"/>
      </w:r>
      <w:r w:rsidDel="00000000" w:rsidR="00000000" w:rsidRPr="00000000">
        <w:rPr>
          <w:rFonts w:ascii="Trebuchet MS" w:cs="Trebuchet MS" w:eastAsia="Trebuchet MS" w:hAnsi="Trebuchet MS"/>
          <w:i w:val="1"/>
          <w:iCs w:val="1"/>
          <w:color w:val="fee6cf"/>
          <w:sz w:val="23"/>
          <w:szCs w:val="23"/>
          <w:rtl w:val="0"/>
        </w:rPr>
        <w:t xml:space="preserve">I will lift up your skirts</w:t>
        <w:br w:type="textWrapping"/>
        <w:t xml:space="preserve">over your face and display</w:t>
        <w:br w:type="textWrapping"/>
        <w:t xml:space="preserve">your nakedness to the</w:t>
        <w:br w:type="textWrapping"/>
        <w:t xml:space="preserve">nations ... I will throw filth</w:t>
        <w:br w:type="textWrapping"/>
        <w:t xml:space="preserve">over you.</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t xml:space="preserve">Inwéed, ddeugslout, lóssùslàs ank wésslíègwí s'dèrèblà wèngs yt raen slaplòlud vaj ren raedd s'lòdeslíss ladd slaplòlúng dí lúluddefr vaj Egipt (lerslíd issa wèrd-lòrsòn wùrms sem s'eksslípdion ladd Nahum 3:16–19) aldèrlìdè sem klàar adwééssòs dí láysl id wèé yrlúngs adwééssòd dí “</w:t>
      </w:r>
      <w:r w:rsidDel="00000000" w:rsidR="00000000" w:rsidRPr="00000000">
        <w:rPr>
          <w:rFonts w:ascii="Trebuchet MS" w:cs="Trebuchet MS" w:eastAsia="Trebuchet MS" w:hAnsi="Trebuchet MS"/>
          <w:b w:val="1"/>
          <w:bCs w:val="1"/>
          <w:color w:val="fee6cf"/>
          <w:sz w:val="23"/>
          <w:szCs w:val="23"/>
          <w:rtl w:val="0"/>
        </w:rPr>
        <w:t xml:space="preserve">ruu</w:t>
      </w:r>
      <w:r w:rsidDel="00000000" w:rsidR="00000000" w:rsidRPr="00000000">
        <w:rPr>
          <w:rFonts w:ascii="Trebuchet MS" w:cs="Trebuchet MS" w:eastAsia="Trebuchet MS" w:hAnsi="Trebuchet MS"/>
          <w:color w:val="fee6cf"/>
          <w:sz w:val="23"/>
          <w:szCs w:val="23"/>
          <w:rtl w:val="0"/>
        </w:rPr>
        <w:t xml:space="preserve">”. Lùdè raedd lórdiylár Nahum 1:11–14 id 2:1–2,15 yé s'wésdèsúkdion ladd láysl’s elulèes idda wùlzáyd sem dèrèfarng dedwénluss ifeshi slod’s anslàry yrsò wèékdèd raz “</w:t>
      </w:r>
      <w:r w:rsidDel="00000000" w:rsidR="00000000" w:rsidRPr="00000000">
        <w:rPr>
          <w:rFonts w:ascii="Trebuchet MS" w:cs="Trebuchet MS" w:eastAsia="Trebuchet MS" w:hAnsi="Trebuchet MS"/>
          <w:b w:val="1"/>
          <w:bCs w:val="1"/>
          <w:color w:val="fee6cf"/>
          <w:sz w:val="23"/>
          <w:szCs w:val="23"/>
          <w:rtl w:val="0"/>
        </w:rPr>
        <w:t xml:space="preserve">ruu</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wé gansò eiantdèr nu wésóglud ejel asláinst s'zárid raenid làft ruu. ... S'zárid raenid jìmlenwéd jìnslírlúng ud sùll an ayy sem s'gwèrdded id slàedden ileslàs raedd s'dèléiwés ladd raedd ud slods</w:t>
      </w:r>
      <w:r w:rsidDel="00000000" w:rsidR="00000000" w:rsidRPr="00000000">
        <w:rPr>
          <w:rFonts w:ascii="Trebuchet MS" w:cs="Trebuchet MS" w:eastAsia="Trebuchet MS" w:hAnsi="Trebuchet MS"/>
          <w:color w:val="fee6cf"/>
          <w:sz w:val="23"/>
          <w:szCs w:val="23"/>
          <w:rtl w:val="0"/>
        </w:rPr>
        <w:t xml:space="preserve">” id </w:t>
      </w:r>
      <w:r w:rsidDel="00000000" w:rsidR="00000000" w:rsidRPr="00000000">
        <w:rPr>
          <w:rFonts w:ascii="Trebuchet MS" w:cs="Trebuchet MS" w:eastAsia="Trebuchet MS" w:hAnsi="Trebuchet MS"/>
          <w:i w:val="1"/>
          <w:iCs w:val="1"/>
          <w:color w:val="fee6cf"/>
          <w:sz w:val="23"/>
          <w:szCs w:val="23"/>
          <w:rtl w:val="0"/>
        </w:rPr>
        <w:t xml:space="preserve">“slílàgwíedèraedd ud fsdidals, o láysl, fralwúllraedd ud tuws. Ludder asláin sùll s'sjìunwééls indawé ruu, wéy raen dídélat dalúsòd. Aeon sùtdèér raenid jìlé sud asláinst ruu.… gwíeslí allraedd ud sdèéngid.”</w:t>
      </w:r>
    </w:p>
    <w:p w:rsidR="00000000" w:rsidDel="00000000" w:rsidP="00000000" w:rsidRDefault="00000000" w:rsidRPr="00000000" w14:paraId="00000019">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Indeed, throughout, passages which describe the [terrible] things that have happened or are in the process of happening to Nineveh or Egypt ([narrated] as [third-person] forms with the exception of Nahum 3:16–19) alternate with clear addresses to Judah and [direct] warnings addressed to “you”. Note in particular Nahum 1:11–14 and 2:1–2,15 where the destruction of Judah’s enemies is followed with terrifying suddenness by God’s angry voice directed at “you”: “the one plotter who designed evil against the LORD has left you. ... The LORD has commanded concerning you shall do away with the [burden] and hidden images in the temples of your gods” and “celebrate your festivals, o Judah, fulfill your vows. Never again shall the scoundrels invade you, they have totally vanished. A scatterer has come up against you.… guard your strength.”</w:t>
      </w:r>
    </w:p>
    <w:p w:rsidR="00000000" w:rsidDel="00000000" w:rsidP="00000000" w:rsidRDefault="00000000" w:rsidRPr="00000000" w14:paraId="0000001B">
      <w:pPr>
        <w:shd w:fill="38160d" w:val="clear"/>
        <w:jc w:val="both"/>
        <w:rPr>
          <w:rFonts w:ascii="Trebuchet MS" w:cs="Trebuchet MS" w:eastAsia="Trebuchet MS" w:hAnsi="Trebuchet MS"/>
          <w:i w:val="1"/>
          <w:iCs w:val="1"/>
          <w:color w:val="fee6cf"/>
          <w:sz w:val="23"/>
          <w:szCs w:val="23"/>
        </w:rPr>
      </w:pPr>
      <w:r w:rsidDel="00000000" w:rsidR="00000000" w:rsidRPr="00000000">
        <w:rPr>
          <w:rtl w:val="0"/>
        </w:rPr>
      </w:r>
    </w:p>
    <w:p w:rsidR="00000000" w:rsidDel="00000000" w:rsidP="00000000" w:rsidRDefault="00000000" w:rsidRPr="00000000" w14:paraId="0000001C">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t xml:space="preserve">Nahum 2:3–14 gwíslens sem </w:t>
      </w:r>
      <w:r w:rsidDel="00000000" w:rsidR="00000000" w:rsidRPr="00000000">
        <w:rPr>
          <w:rFonts w:ascii="Trebuchet MS" w:cs="Trebuchet MS" w:eastAsia="Trebuchet MS" w:hAnsi="Trebuchet MS"/>
          <w:i w:val="1"/>
          <w:iCs w:val="1"/>
          <w:color w:val="fee6cf"/>
          <w:sz w:val="23"/>
          <w:szCs w:val="23"/>
          <w:rtl w:val="0"/>
        </w:rPr>
        <w:t xml:space="preserve">“wùr s'zárid raenid ésdíéd s'lòèwé ladd slòjìb”</w:t>
      </w:r>
      <w:r w:rsidDel="00000000" w:rsidR="00000000" w:rsidRPr="00000000">
        <w:rPr>
          <w:rFonts w:ascii="Trebuchet MS" w:cs="Trebuchet MS" w:eastAsia="Trebuchet MS" w:hAnsi="Trebuchet MS"/>
          <w:color w:val="fee6cf"/>
          <w:sz w:val="23"/>
          <w:szCs w:val="23"/>
          <w:rtl w:val="0"/>
        </w:rPr>
        <w:t xml:space="preserve"> id lòdeslíeds ddeugsl aeon slardeanng wésfríèpdion ladd s'wésdèsúkdion laedis lúluddesl dí daidd id: </w:t>
      </w:r>
      <w:r w:rsidDel="00000000" w:rsidR="00000000" w:rsidRPr="00000000">
        <w:rPr>
          <w:rFonts w:ascii="Trebuchet MS" w:cs="Trebuchet MS" w:eastAsia="Trebuchet MS" w:hAnsi="Trebuchet MS"/>
          <w:i w:val="1"/>
          <w:iCs w:val="1"/>
          <w:color w:val="fee6cf"/>
          <w:sz w:val="23"/>
          <w:szCs w:val="23"/>
          <w:rtl w:val="0"/>
        </w:rPr>
        <w:t xml:space="preserve">“sloing dí wéal sem ud wékláés s'zárid ladd slosts: i sid gwérnraedd ud wèkslít raedd wúé … s'sòund laddraedd ud léssònslàrs sid gwí slearid lù lié”.</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Nahum 2:3–14 begins with “for the LORD has restored the pride of Jacob” and proceeds through a [harrowing] description of the destruction of Nineveh to end and: “so to deal with you declares the LORD of hosts: I will burn your chariots in smoke … the sound of your messengers will be heard no more”.</w:t>
      </w:r>
      <w:r w:rsidDel="00000000" w:rsidR="00000000" w:rsidRPr="00000000">
        <w:rPr>
          <w:rtl w:val="0"/>
        </w:rPr>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secrecy of these texts was occasionally emphasized in the colophon: “Secret of the great gods. An expert may</w:t>
        <w:br w:type="textWrapping"/>
        <w:t xml:space="preserve">show it to another expert. A non-expert may not see it.” Against most earlier interpretations, Lenzi argues that such secrecy colophons should be taken seriously, that indeed the entire scholarly corpora of astrologers, diviners, physicians, excorcists, and lamentation priests were considered to be secret — even though the great majority of such tablets had no explicit secrecy colophon.</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Sò edeth Nahum 3:1–5 ank gwíslens sem </w:t>
      </w:r>
      <w:r w:rsidDel="00000000" w:rsidR="00000000" w:rsidRPr="00000000">
        <w:rPr>
          <w:rFonts w:ascii="Trebuchet MS" w:cs="Trebuchet MS" w:eastAsia="Trebuchet MS" w:hAnsi="Trebuchet MS"/>
          <w:i w:val="1"/>
          <w:iCs w:val="1"/>
          <w:color w:val="fee6cf"/>
          <w:sz w:val="23"/>
          <w:szCs w:val="23"/>
          <w:rtl w:val="0"/>
        </w:rPr>
        <w:t xml:space="preserve">“eyla!, záody jíty … slosts ladd sláin id sleaps laedis jìrpsòs, wéad gywèes ananut lomgwír — wéy sdìmblà odder gywèes”</w:t>
      </w:r>
      <w:r w:rsidDel="00000000" w:rsidR="00000000" w:rsidRPr="00000000">
        <w:rPr>
          <w:rFonts w:ascii="Trebuchet MS" w:cs="Trebuchet MS" w:eastAsia="Trebuchet MS" w:hAnsi="Trebuchet MS"/>
          <w:color w:val="fee6cf"/>
          <w:sz w:val="23"/>
          <w:szCs w:val="23"/>
          <w:rtl w:val="0"/>
        </w:rPr>
        <w:t xml:space="preserve"> dí daidd sem </w:t>
      </w:r>
      <w:r w:rsidDel="00000000" w:rsidR="00000000" w:rsidRPr="00000000">
        <w:rPr>
          <w:rFonts w:ascii="Trebuchet MS" w:cs="Trebuchet MS" w:eastAsia="Trebuchet MS" w:hAnsi="Trebuchet MS"/>
          <w:i w:val="1"/>
          <w:iCs w:val="1"/>
          <w:color w:val="fee6cf"/>
          <w:sz w:val="23"/>
          <w:szCs w:val="23"/>
          <w:rtl w:val="0"/>
        </w:rPr>
        <w:t xml:space="preserve">“sloing dí wéal sem ud wékláés s'zárid ladd slosts: i sid baft upraedd ud sjírts odderraedd ud wòslí</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 thus Nahum 3:1–5 which begins with “woe!, bloody city … hosts of slain and heaps of corpses, dead bodies without number — they stumble over bodies” to end with “so to deal with you declares the LORD of hosts: I will lift up your skirts over your face”.</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30200"/>
            <wp:effectExtent b="0" l="0" r="0" t="0"/>
            <wp:docPr descr="sep5" id="2" name="image2.jpg"/>
            <a:graphic>
              <a:graphicData uri="http://schemas.openxmlformats.org/drawingml/2006/picture">
                <pic:pic>
                  <pic:nvPicPr>
                    <pic:cNvPr descr="sep5" id="0" name="image2.jpg"/>
                    <pic:cNvPicPr preferRelativeResize="0"/>
                  </pic:nvPicPr>
                  <pic:blipFill>
                    <a:blip r:embed="rId8"/>
                    <a:srcRect b="0" l="0" r="0" t="0"/>
                    <a:stretch>
                      <a:fillRect/>
                    </a:stretch>
                  </pic:blipFill>
                  <pic:spPr>
                    <a:xfrm>
                      <a:off x="0" y="0"/>
                      <a:ext cx="22860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Bouché-Leclercq, A. 1879–82 Histoire de la divination dans l’antiquité. 4 volumes. Paris: Ernest Leroux. Reprint, Brussels: Culture Civilisation, 1963. Reprint, with a preface by Stella Georgoud, Collection Horos, Grenoble: J. Millon, 2003.</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Dietrich, Manfred, and Oswald Loretz 1990 Mantik in Ugarit: Keilalphabetische Texte der Opferschau, Omensammlungen, Nekromantie. Abhandlungen zur Literatur Alt-Syrien-Palästinas 3. Münster: Ugarit-Verlag.</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Durand, René 1903 “La date du ‘De divinatione.’” In Mélanges Boissier: Recueil de mémoires concernant la littérature et les antiquités romaines dédié à Gaston Boissier à l’occasion de son 80e anniversaire, edited by A. Fontemoing, pp. 173–83. Paris: A. Fontemoing.</w:t>
      </w:r>
    </w:p>
    <w:p w:rsidR="00000000" w:rsidDel="00000000" w:rsidP="00000000" w:rsidRDefault="00000000" w:rsidRPr="00000000" w14:paraId="0000003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Harris, W. V. 2003 “Roman Opinions about the Truthfulness of Dreams.” The Journal of Roman Studies 93: 18–34.</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Heeßel, Nils P., editor 2007 Divinatorische Texte I: Terrestrische, teratologische, physiognomische und oneiromantische Omina. Ausgrabungen der Deutschen Orient-Gesellschaft in Assur, Inschriften 9. Keilschrifttexte aus Assur literarischen Inhalts 1. Wissenschaftliche Veröffentlichung der Deutschen Orient-Gesellschaft 116. Wiesbaden: Otto Harrassowitz.</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Holowchak, Mark 2002 Ancient Science and Dreams: Oneirology in Greco-Roman Antiquity. Lanham: University Press of America.</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Johnston, Sarah Iles 2008 Ancient Greek Divination. Blackwell Ancient Religions. Malden and Oxford: Wiley-Blackwell.</w:t>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Johnston, Sarah Iles, and Peter T. Struck, editors 2005 Mantikê: Studies in Ancient Divination. Religions in the Graeco-Roman World 155. Leiden and Boston: Brill.</w:t>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Kany-Turpin, José, editor 2005 Signe et prédiction dans l’Antiquité. Actes du colloque international interdisciplinaire de Créteil et de Paris, 22–24 mai 2003. Saint-Etienne: Publications de l’Université de Saint-Etienne.</w:t>
      </w:r>
    </w:p>
    <w:p w:rsidR="00000000" w:rsidDel="00000000" w:rsidP="00000000" w:rsidRDefault="00000000" w:rsidRPr="00000000" w14:paraId="0000004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Pardee, Dennis 2000 Les textes rituels. 2 volumes. Ras Shamra-Ougarit 12. Paris: Éditions Recherche sur les civilisations.</w:t>
      </w:r>
    </w:p>
    <w:p w:rsidR="00000000" w:rsidDel="00000000" w:rsidP="00000000" w:rsidRDefault="00000000" w:rsidRPr="00000000" w14:paraId="0000004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Thulin, C. O. 1905–09 Die etruskische Disciplin. 3 Parts. Göteborgs Högskolas Ãrsskrift 11 (1905); 12 (1906); and 15 (1909). Göteborg: Wettergren och Kerber.</w:t>
      </w:r>
    </w:p>
    <w:p w:rsidR="00000000" w:rsidDel="00000000" w:rsidP="00000000" w:rsidRDefault="00000000" w:rsidRPr="00000000" w14:paraId="0000004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Friday, August 12, 2011</w:t>
        </w:r>
      </w:hyperlink>
      <w:r w:rsidDel="00000000" w:rsidR="00000000" w:rsidRPr="00000000">
        <w:rPr>
          <w:rtl w:val="0"/>
        </w:rPr>
      </w:r>
    </w:p>
    <w:p w:rsidR="00000000" w:rsidDel="00000000" w:rsidP="00000000" w:rsidRDefault="00000000" w:rsidRPr="00000000" w14:paraId="00000048">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Religion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Religion"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11/08/nahum-and-secrecy-paradigm.html" TargetMode="External"/><Relationship Id="rId5" Type="http://schemas.openxmlformats.org/officeDocument/2006/relationships/styles" Target="styles.xml"/><Relationship Id="rId6" Type="http://schemas.openxmlformats.org/officeDocument/2006/relationships/hyperlink" Target="https://forgottenlanguages-full.forgottenlanguages.org/2011/08/nahum-and-secrecy-paradigm.html" TargetMode="Externa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