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13ll30ghafz0"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Private Conscious Events and Language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35200" cy="3937000"/>
            <wp:effectExtent b="0" l="0" r="0" t="0"/>
            <wp:docPr descr="Private Conscious Events and Language Cover" id="2" name="image3.jpg"/>
            <a:graphic>
              <a:graphicData uri="http://schemas.openxmlformats.org/drawingml/2006/picture">
                <pic:pic>
                  <pic:nvPicPr>
                    <pic:cNvPr descr="Private Conscious Events and Language Cover" id="0" name="image3.jpg"/>
                    <pic:cNvPicPr preferRelativeResize="0"/>
                  </pic:nvPicPr>
                  <pic:blipFill>
                    <a:blip r:embed="rId7"/>
                    <a:srcRect b="0" l="0" r="0" t="0"/>
                    <a:stretch>
                      <a:fillRect/>
                    </a:stretch>
                  </pic:blipFill>
                  <pic:spPr>
                    <a:xfrm>
                      <a:off x="0" y="0"/>
                      <a:ext cx="2235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Private Conscious Events and Language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S'inwèjewíal ekslòèenslís febangs, atdidìwés, anugslts, ilefràs, iwéas, gwíbaefs, id owér jìndènts ladd reven dénim, gwét wésò jìndènts ren lùt éslòkdéblà, usòslal, id lòdeganbat luslíssùry akfríssóblà dí anrulu elsò:</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individual experiences feelings, attitudes, thoughts, [images], ideas, beliefs, and other contents of the [private, conscious] mind, but these contents are not reportable, [useful], and probably not necessarily accessible to anyone else: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Private experiences are important aspects of the fully functioning mental system. It is possible to get transformed reports about those events and it should be possible to develop appropriate theories that relate contents of consciousness, their transformations, and their report. However, it is not possible to build a theory that makes direct predictions about private experience since the outcome of those predictions cannot be inspected by the psychologist/observer.</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1714500"/>
            <wp:effectExtent b="0" l="0" r="0" t="0"/>
            <wp:docPr descr="MINIATURE-HUMANPOL2B" id="3" name="image5.jpg"/>
            <a:graphic>
              <a:graphicData uri="http://schemas.openxmlformats.org/drawingml/2006/picture">
                <pic:pic>
                  <pic:nvPicPr>
                    <pic:cNvPr descr="MINIATURE-HUMANPOL2B" id="0" name="image5.jpg"/>
                    <pic:cNvPicPr preferRelativeResize="0"/>
                  </pic:nvPicPr>
                  <pic:blipFill>
                    <a:blip r:embed="rId8"/>
                    <a:srcRect b="0" l="0" r="0" t="0"/>
                    <a:stretch>
                      <a:fillRect/>
                    </a:stretch>
                  </pic:blipFill>
                  <pic:spPr>
                    <a:xfrm>
                      <a:off x="0" y="0"/>
                      <a:ext cx="2286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Gwíèeláfy sdédèd, yt idda s'slòjíal lòdeblàm wòjíng psyjìzáslests. Wéé ren lù edasóons mássóblà. Iz idda lùt mássóblà dí gwéild aeon flùlélìl psyjìzágy yt idda sùéd.</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Briefly stated, that is the special problem facing psychologists. There are no [solutions] possible. It is not possible to build a [mental] psychology that is tested.</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wéory ladd flùlélì ley gwí sùéd gwét s'lòèdadè reven dénim, onslí ekslòéssòd raedd nurds, fràsdìés, vaj raedd merg yy eksdèrlìbazed idda luslíssùèat aeon dèenswùrledion ladd s'lòèdadè ekslòèenslí:</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theory of [being/mind] may be tested but the [private, conscious] [subjective] mind, only expressed in words, [phrases], or in any way externalized is necessarily a transformation of the private experience:</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usually do not refer to a choice unless there is a ‘‘conscious’’ choice between two or more alternatives, and this also holds for phonetic changes and semantic variations. This means language change is also a conscious process based on probability. And this probability can be computed.</w:t>
      </w:r>
    </w:p>
    <w:p w:rsidR="00000000" w:rsidDel="00000000" w:rsidP="00000000" w:rsidRDefault="00000000" w:rsidRPr="00000000" w14:paraId="0000001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Pr>
        <w:drawing>
          <wp:inline distB="114300" distT="114300" distL="114300" distR="114300">
            <wp:extent cx="1943100" cy="2286000"/>
            <wp:effectExtent b="0" l="0" r="0" t="0"/>
            <wp:docPr descr="MINIATURE-ROBOT5" id="5" name="image4.jpg"/>
            <a:graphic>
              <a:graphicData uri="http://schemas.openxmlformats.org/drawingml/2006/picture">
                <pic:pic>
                  <pic:nvPicPr>
                    <pic:cNvPr descr="MINIATURE-ROBOT5" id="0" name="image4.jpg"/>
                    <pic:cNvPicPr preferRelativeResize="0"/>
                  </pic:nvPicPr>
                  <pic:blipFill>
                    <a:blip r:embed="rId9"/>
                    <a:srcRect b="0" l="0" r="0" t="0"/>
                    <a:stretch>
                      <a:fillRect/>
                    </a:stretch>
                  </pic:blipFill>
                  <pic:spPr>
                    <a:xfrm>
                      <a:off x="0" y="0"/>
                      <a:ext cx="1943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Lù wéory eksdèrlìl dí s'inwèjewíal, yt is, olu yt dèéats s'orslálúsm issa s'obslikt ladd obsòrdadion, wésslíèpdion id ekseiylìdion, gwèn raz s'sùlé dilé gwí aeon wéory yt usòs lòèdadè ekslòèenslís, febangs, id atdidìwés issa ydé (sòe slàey 1971). Eddents id obslikts raedd reven dénim gwèn ludder gwí adailáblà dí s'obsòrdder ananut slajeng gwíen ésdèsúkdìéd, éindèrlòédèd, id aplòdelòèadèat liwèwúed ifeshi sdèsúkdìés yt ren slòjíwúk dí s'inwèjewíal aning s'émárding.</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 theory external to the individual, that is, one that treats the organism as the object of observation, description and examination, can at the same time be a theory that uses private experiences, feelings, and attitudes as data (see [slàey] 1971). Events and objects in the private mind can never be available to the observer without having been structured, interpreted, and appropriately [modified] by structures that are special to the individual doing the reporting.</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Wésò sdèsúkdìés ley edden gwí slòjíwúk dí s'jínds ladd ekslòèenslís, febangs, id atdidìwés yt ren émárdèd. S'jìndènt ladd reven dénim, issa wúzásòfrs id psyjìzáslests raen díld nizze sha slíndìèes, idda lùt wèéktat adailáblà issa aeon ydìm raedd psyjìzágy:</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These structures may even be special to the kinds of experiences, feelings, and attitudes that are reported. The content of the [private, conscious] mind, as philosophers and psychologists have told us for centuries, is not directly available as a datum in psychology: </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Choice and other processes that operate on conscious content are dependent on those structures that can enter the conscious state. Only those structures that can become conscious can be subjected to choice activities. Thus, situational and social relevance determine the content of consciousness and the ‘‘ideational’ operations that can be performed on the individual’s reality.</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514600" cy="2463800"/>
            <wp:effectExtent b="0" l="0" r="0" t="0"/>
            <wp:docPr descr="BEBE1C" id="4" name="image2.jpg"/>
            <a:graphic>
              <a:graphicData uri="http://schemas.openxmlformats.org/drawingml/2006/picture">
                <pic:pic>
                  <pic:nvPicPr>
                    <pic:cNvPr descr="BEBE1C" id="0" name="image2.jpg"/>
                    <pic:cNvPicPr preferRelativeResize="0"/>
                  </pic:nvPicPr>
                  <pic:blipFill>
                    <a:blip r:embed="rId10"/>
                    <a:srcRect b="0" l="0" r="0" t="0"/>
                    <a:stretch>
                      <a:fillRect/>
                    </a:stretch>
                  </pic:blipFill>
                  <pic:spPr>
                    <a:xfrm>
                      <a:off x="0" y="0"/>
                      <a:ext cx="2514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It is intriguing to speculate that the action of hallucinogenic or ‘‘mind-expanding’’ drugs has a similar locus and effect. Changes in perceptual processes coexist with changes in the experience of duration. It has been argued that these drugs often produce in the instant the experiences that meditative methods generate with extensive practice. It is possible that some drugs in fact slow the flow of conscious frames, and that some of the lasting effects of these drugs may be due to structural changes in control of the flow of consciousness.</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br w:type="textWrapping"/>
        <w:t xml:space="preserve">Wéé ren tnu éládèd lòdeblàms raedd s'sdìdy ladd reven dénim. S'wúrst idda lié slanyléndél yn s'uesdion yt awéèan adwééssòs. Iz idda lùt onat s'gwèsò yt s'lìdìé ladd s'indèrdesládion ley aekt s'émárdèd jìndènt ladd reven dénim, gwét, lié gansógwèlat, s'akt laedis eksalèlìdion itsòlf ley a¤ekt s'inwèjewíalat obsòrdablà jìnsjíous jìndènts. Wès jìnslikdìé idda éasòlìblà edden raz s'làddel ladd lòdeslíssóng gwèlójíty, sónslí s'jìnsjíous akt ladd indèrdesláding olu’s jìnsjíous jìndènt líst okypy sòlé lórt ladd s'balèdèd gwèlójíty. Issa aeon édelt s'adailáblà jìndènt idda aldèéd ifeshi s'lòdeslíss ladd indèrdesládion. Sledden yt s'akt ladd indèrdesládion gwènslàs s'jìndènt laedis reven dénim, s'sòurslí ladd yt inuiry gwíjìlés laedis sòjìnyry immárdénslí. S'sòjìnd lòdeblàm dí gwí wòslíd idda s'wòkt yt s'jìndènts ladd reven dénim ren lùt sóléidy élòdewíjíblà ifeshi sòlé olu-dí-olu lepmang indí de derganyl émárt:</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are two related problems in the study of the [private, conscious] mind. The first is more fundamental than the question that [Adrian] addresses. It is not only the case that the nature of the introspection may affect the reported content of the [private, conscious] mind, but, more basically, the act of examination itself may affect the individually observable conscious contents. This conflict is resolvable even at the level of processing capacity, since the conscious act of introspecting one's conscious content must occupy some part of the limited capacity. As a result the available content is altered by the process of introspection. Given that the act of introspection changes the content of the [private, conscious] mind, the source of that inquiry becomes of secondary importance. The second problem to be faced is the fact that the contents of the [private, conscious] mind are not already reproducible by some one-to-one mapping into the organismic report:</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 human speech there is clearly a limit to the number of dimensions that we use. In this instance, however, it is not known whether the limit is imposed by the nature of the perceptual machinery that must recognize the sounds or by the nature of the speech machinery that must</w:t>
        <w:br w:type="textWrapping"/>
        <w:t xml:space="preserve">produce them. Somebody will have to do the experiment to find out.</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Edden ked wésò jìndènts yé aatys jìuslíd raedd lánslóaslà, ank wéy deéat ren lùt, sòlé wéory ladd dèenslèssóon siud gwí éuiéd.</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Even if these contents were [always] [coded] in language, which they certainly are not, some theory of translation would be required.</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Issa aeon édelt y ren wòslíd sem s'inwèjewíal’s obsòrdadion ladd s'jìndènts laedis raedd ed reven dénim fudd s'olu sland, id fudd s'owér sem s'psyjìzáslest laedis wéoédigwèl infénslí agwet ansò jìndènts, gansòd fudd ydèdder ydé, inkzàwèng indèdeslòkdidde émárts, ren adailáblà. Gyd ladd wésò klùwlàdslàs ley gwí usòd issa élàdant dí s'jìnsdèsúkdion ladd aeon psyjìzágy ladd jìglúdion, anugsl iz ley raedd lòènjíeiwé gwí immássóblà dí wédèrlèlu, raedd merg eksakt sònsò, s'éládion gwítgadn wésò ténu indèrlòédédions ladd reven dénim.</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a result we are faced with the individual’s observation of the contents of his or her [private, conscious] mind on the one hand, and on the other with the psychologist’s theoretical inference about those contents, based on whatever data, including introspective reports, are available. Both of these </w:t>
      </w:r>
      <w:r w:rsidDel="00000000" w:rsidR="00000000" w:rsidRPr="00000000">
        <w:rPr>
          <w:rFonts w:ascii="Trebuchet MS" w:cs="Trebuchet MS" w:eastAsia="Trebuchet MS" w:hAnsi="Trebuchet MS"/>
          <w:color w:val="fee6cf"/>
          <w:sz w:val="23"/>
          <w:szCs w:val="23"/>
          <w:rtl w:val="0"/>
        </w:rPr>
        <w:t xml:space="preserve">knowledges</w:t>
      </w:r>
      <w:r w:rsidDel="00000000" w:rsidR="00000000" w:rsidRPr="00000000">
        <w:rPr>
          <w:rFonts w:ascii="Trebuchet MS" w:cs="Trebuchet MS" w:eastAsia="Trebuchet MS" w:hAnsi="Trebuchet MS"/>
          <w:color w:val="fee6cf"/>
          <w:sz w:val="23"/>
          <w:szCs w:val="23"/>
          <w:rtl w:val="0"/>
        </w:rPr>
        <w:t xml:space="preserve"> may be used as relevant to the construction of a psychology of cognition, although it may in principle be impossible to determine, in any exact sense, the relation between these two interpretations of the [private, conscious] mind.</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30200"/>
            <wp:effectExtent b="0" l="0" r="0" t="0"/>
            <wp:docPr descr="sep5" id="1" name="image1.jpg"/>
            <a:graphic>
              <a:graphicData uri="http://schemas.openxmlformats.org/drawingml/2006/picture">
                <pic:pic>
                  <pic:nvPicPr>
                    <pic:cNvPr descr="sep5" id="0" name="image1.jpg"/>
                    <pic:cNvPicPr preferRelativeResize="0"/>
                  </pic:nvPicPr>
                  <pic:blipFill>
                    <a:blip r:embed="rId11"/>
                    <a:srcRect b="0" l="0" r="0" t="0"/>
                    <a:stretch>
                      <a:fillRect/>
                    </a:stretch>
                  </pic:blipFill>
                  <pic:spPr>
                    <a:xfrm>
                      <a:off x="0" y="0"/>
                      <a:ext cx="22860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Adrian, E. D. Consciousness. In J. C. Eccles (Ed.), Brain and conscious experience. New York: Springer Publ., 1966.</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Klatt, D.H. (1980) ‘Speech perception: a model of acoustic-phonetic analysis and lexical access’, in R.A. Cole (ed.) Perception and Production of Fluent Speech, Hillsdale, NJ: Lawrence Erlbaum Associates.</w:t>
      </w:r>
    </w:p>
    <w:p w:rsidR="00000000" w:rsidDel="00000000" w:rsidP="00000000" w:rsidRDefault="00000000" w:rsidRPr="00000000" w14:paraId="0000003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Luce, R. D. Individual choice behavior: A theoretical analysis. New York: Wiley, 1959.</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Schreifers, H., Meyer, A.S. and Levelt, W.J.M. (1990) ‘Exploring the time course of lexical access in speech production: picture–word interference studies’, Journal of Memory and Language 29: 86–102.</w:t>
      </w:r>
    </w:p>
    <w:p w:rsidR="00000000" w:rsidDel="00000000" w:rsidP="00000000" w:rsidRDefault="00000000" w:rsidRPr="00000000" w14:paraId="0000003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Swinney, D.A. (1979) ‘Lexical access during sentence comprehension: (re)consideration of context effects’, Journal of Verbal Learning and Verbal Behaviour 18: 654–9.</w:t>
      </w:r>
    </w:p>
    <w:p w:rsidR="00000000" w:rsidDel="00000000" w:rsidP="00000000" w:rsidRDefault="00000000" w:rsidRPr="00000000" w14:paraId="0000003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2">
        <w:r w:rsidDel="00000000" w:rsidR="00000000" w:rsidRPr="00000000">
          <w:rPr>
            <w:rFonts w:ascii="Trebuchet MS" w:cs="Trebuchet MS" w:eastAsia="Trebuchet MS" w:hAnsi="Trebuchet MS"/>
            <w:color w:val="db956a"/>
            <w:sz w:val="23"/>
            <w:szCs w:val="23"/>
            <w:rtl w:val="0"/>
          </w:rPr>
          <w:t xml:space="preserve">Monday, August 22, 2011</w:t>
        </w:r>
      </w:hyperlink>
      <w:r w:rsidDel="00000000" w:rsidR="00000000" w:rsidRPr="00000000">
        <w:rPr>
          <w:rtl w:val="0"/>
        </w:rPr>
      </w:r>
    </w:p>
    <w:p w:rsidR="00000000" w:rsidDel="00000000" w:rsidP="00000000" w:rsidRDefault="00000000" w:rsidRPr="00000000" w14:paraId="0000003C">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3">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Philosophy of Language </w:t>
        </w:r>
      </w:hyperlink>
      <w:r w:rsidDel="00000000" w:rsidR="00000000" w:rsidRPr="00000000">
        <w:rPr>
          <w:rFonts w:ascii="Trebuchet MS" w:cs="Trebuchet MS" w:eastAsia="Trebuchet MS" w:hAnsi="Trebuchet MS"/>
          <w:color w:val="d19742"/>
          <w:sz w:val="23"/>
          <w:szCs w:val="23"/>
          <w:rtl w:val="0"/>
        </w:rPr>
        <w:t xml:space="preserve">, </w:t>
      </w:r>
      <w:hyperlink r:id="rId15">
        <w:r w:rsidDel="00000000" w:rsidR="00000000" w:rsidRPr="00000000">
          <w:rPr>
            <w:rFonts w:ascii="Trebuchet MS" w:cs="Trebuchet MS" w:eastAsia="Trebuchet MS" w:hAnsi="Trebuchet MS"/>
            <w:color w:val="db956a"/>
            <w:sz w:val="23"/>
            <w:szCs w:val="23"/>
            <w:rtl w:val="0"/>
          </w:rPr>
          <w:t xml:space="preserve">Phonosemantics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hyperlink" Target="https://forgottenlanguages-full.forgottenlanguages.org/search/label/Ladd%20cryptolect" TargetMode="External"/><Relationship Id="rId12" Type="http://schemas.openxmlformats.org/officeDocument/2006/relationships/hyperlink" Target="https://forgottenlanguages-full.forgottenlanguages.org/2011/08/private-conscious-events-and-languag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forgottenlanguages-full.forgottenlanguages.org/search/label/Phonosemantics" TargetMode="External"/><Relationship Id="rId14" Type="http://schemas.openxmlformats.org/officeDocument/2006/relationships/hyperlink" Target="https://forgottenlanguages-full.forgottenlanguages.org/search/label/Philosophy%20of%20Language" TargetMode="External"/><Relationship Id="rId5" Type="http://schemas.openxmlformats.org/officeDocument/2006/relationships/styles" Target="styles.xml"/><Relationship Id="rId6" Type="http://schemas.openxmlformats.org/officeDocument/2006/relationships/hyperlink" Target="https://forgottenlanguages-full.forgottenlanguages.org/2011/08/private-conscious-events-and-language.html" TargetMode="External"/><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