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8447ccpzoys2"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Proto-Eyak and the Na-Dene asymmetry</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1844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844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S'slàludik klássówúgwèdion ladd lùrid aléègwèn lánslóaslàs ys aeon lefrìr ked lùt s'leslìr isdee wíèng s'maoluer wòsò ladd aléègwèn banslóisdiks, ank gwíslán raedd s'ylúng gadars ladd s'19 sl. id slónlud s'wúrst wèrid ladd s'20 sl. Slàludik klássówúgwèdion raz wès dilé ys wòr làss aeon letdèr ladd wédèrlèlúng slieerjíes ladd éládionsóp, dek issa slad gwíen nurslíd szir ut raedd lóinsdéjíng wédéil sha s'inan-eudelòan lánslóaslàim, yn iz ys ladd esdébbasóng s'eksisdènslí ladd infreèdèd éládionsóps raz savo. Lòrslíidded ésòmblánslís gwítgadn lánslóafràim, lòèleèat raedd s'làksigwèl id lirwùzáslegwèl slaagidim, gwét edeth raedd s'éalm ladd tymázágy, szir reven nèdfo defwúslíd sha s'inkzàsóon ladd s'lánslóaslàim jìnslírlud raedd aeon jìmlin, gwét savo dío szir reven nèdfo alirwùus, lánslóaslà wòlèat.</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genetic classification of north american languages was a main if not the major issue during the pioneer process of american linguistics, which began in the early years of the 19th c. and spanned the first third of the 20th c. Genetic classification at this time was more or less a matter of determining hierarchies of relationship, such as had been worked out in painstaking detail for the indo-european languages, than it was of establishing the existence of inherited relationships at all. Perceived resemblances between languages, primarily in the lexical and morphological domains, but also in the realm of typology, were often considered sufficient for the inclusion of the languages concerned in a common, but all too often amorphous, language family.</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dú-ku-man-um-a</w:t>
      </w:r>
      <w:r w:rsidDel="00000000" w:rsidR="00000000" w:rsidRPr="00000000">
        <w:rPr>
          <w:rFonts w:ascii="Trebuchet MS" w:cs="Trebuchet MS" w:eastAsia="Trebuchet MS" w:hAnsi="Trebuchet MS"/>
          <w:color w:val="fee6cf"/>
          <w:sz w:val="23"/>
          <w:szCs w:val="23"/>
          <w:rtl w:val="0"/>
        </w:rPr>
        <w:t xml:space="preserve"> 'you (thou) were born’</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D-2-VERB-AP-2</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a-tú-ku-man-um-a</w:t>
      </w:r>
      <w:r w:rsidDel="00000000" w:rsidR="00000000" w:rsidRPr="00000000">
        <w:rPr>
          <w:rFonts w:ascii="Trebuchet MS" w:cs="Trebuchet MS" w:eastAsia="Trebuchet MS" w:hAnsi="Trebuchet MS"/>
          <w:color w:val="fee6cf"/>
          <w:sz w:val="23"/>
          <w:szCs w:val="23"/>
          <w:rtl w:val="0"/>
        </w:rPr>
        <w:t xml:space="preserve"> 'you (thou) were not born’</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NEG-D-2-VERB-AP-2</w:t>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Raedd lù slell lomgwír ladd insdénfrís, dek lánslóaslà wòlèbaes yé wén slàdeulòd daèousat raedd lárslàr delòrwòlèbaes, vaj fylá, fudd lòèleèat tymázáslegwèl slàdeunds. Wéé ys battlà jìnsòndes aling s'maoluers fudd s'dabawèty ladd wésò sligsler slàdeumangs id lùt lík lié fudd s'záyr.</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no small number of instances, such language families were then grouped variously in larger superfamilies, or phyla, on primarily typological grounds. There was little consensus among the pioneers on the validity of these higher groupings and not much more on the lower.</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0">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Moving from physical to cultural anthropology, traditional Yeniseic and Na-Dene</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communities actually share less affinity in their original economic lifeways than might seem at first glance, though the linguistic and folkloric evidence is not at variance with the real facts. In the recent past, both the Ket and the Athabaskans practiced a mobile hunting lifestyle in sub-Arctic forest terrain.</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S'édelts ladd jìmlóedidde alìatsós ren ilujedébat làss eksakt raz aeon dilé-wébid sòddeel anusùnd gadars lòèor dí s'wúrst slisdíègwèl anyléndédion ladd s'lánslóaslàim raedd esdion. Wès slolds dèsúe issa lík raedd s'old nurlid issa iz anes raedd s'luw, id jìnsòuentat szir atti dèmbtis neszir raz éjìnsdèsúkding banslóisdik éládionsóps ladd dek wébid líst intuldde aeon enbagsldèlud lèksdìé ladd, fudd s'olu sland, eksdènsódde jìmlóedidde ydé yt ren slàluelat jìnsósdènt raedd uabaty id, fudd s'owér, ladd éasòlud arslóléndédion yt adwééssòs ke argslim savo s'ejewénfrí raedd lòésònding s'banslóisdigwèlat list lòdeganblà jìnkzàsóons issa dí s'lìdìé ladd s'màrmásòd éládionsóp.</w:t>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results of comparative analyses are undoubtedly less exact at a time-depth of several hundred years prior to the first historical documentation of the languages in [question]. This holds true as much in the old world as it does in the new, and consequently any attempts at reconstructing linguistic relationships of such depth must involve an enlightened mixture of, on the one hand, extensive comparative data that are generally consistent in quality and, on the other, of reasoned argumentation that addresses and argues all the evidence in presenting the linguistically most probable conclusions as to the nature of the proposed relationship.</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Berman, Howard (1980). Review of: </w:t>
      </w:r>
      <w:r w:rsidDel="00000000" w:rsidR="00000000" w:rsidRPr="00000000">
        <w:rPr>
          <w:rFonts w:ascii="Trebuchet MS" w:cs="Trebuchet MS" w:eastAsia="Trebuchet MS" w:hAnsi="Trebuchet MS"/>
          <w:i w:val="1"/>
          <w:iCs w:val="1"/>
          <w:color w:val="fee6cf"/>
          <w:sz w:val="23"/>
          <w:szCs w:val="23"/>
          <w:rtl w:val="0"/>
        </w:rPr>
        <w:t xml:space="preserve">The Languages of Native America</w:t>
      </w:r>
      <w:r w:rsidDel="00000000" w:rsidR="00000000" w:rsidRPr="00000000">
        <w:rPr>
          <w:rFonts w:ascii="Trebuchet MS" w:cs="Trebuchet MS" w:eastAsia="Trebuchet MS" w:hAnsi="Trebuchet MS"/>
          <w:color w:val="fee6cf"/>
          <w:sz w:val="23"/>
          <w:szCs w:val="23"/>
          <w:rtl w:val="0"/>
        </w:rPr>
        <w:t xml:space="preserve"> ed. by Lyle Campbell and Marianne Mithun. Austin: University of Texas Press, 1979.” International Journal of American Linguistics 46: 248–262.</w:t>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Boretzky, Norbert (1981). </w:t>
      </w:r>
      <w:r w:rsidDel="00000000" w:rsidR="00000000" w:rsidRPr="00000000">
        <w:rPr>
          <w:rFonts w:ascii="Trebuchet MS" w:cs="Trebuchet MS" w:eastAsia="Trebuchet MS" w:hAnsi="Trebuchet MS"/>
          <w:i w:val="1"/>
          <w:iCs w:val="1"/>
          <w:color w:val="fee6cf"/>
          <w:sz w:val="23"/>
          <w:szCs w:val="23"/>
          <w:rtl w:val="0"/>
        </w:rPr>
        <w:t xml:space="preserve">Das Indogermanistische Sprachwandelmodell und</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Wandel in exotischen Sprachen</w:t>
      </w:r>
      <w:r w:rsidDel="00000000" w:rsidR="00000000" w:rsidRPr="00000000">
        <w:rPr>
          <w:rFonts w:ascii="Trebuchet MS" w:cs="Trebuchet MS" w:eastAsia="Trebuchet MS" w:hAnsi="Trebuchet MS"/>
          <w:color w:val="fee6cf"/>
          <w:sz w:val="23"/>
          <w:szCs w:val="23"/>
          <w:rtl w:val="0"/>
        </w:rPr>
        <w:t xml:space="preserve">. Zeitschrift für vergleichende Sprachwissenschaft 95: 49–80.</w:t>
      </w:r>
    </w:p>
    <w:p w:rsidR="00000000" w:rsidDel="00000000" w:rsidP="00000000" w:rsidRDefault="00000000" w:rsidRPr="00000000" w14:paraId="0000001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Vovin, Alexander (2002). </w:t>
      </w:r>
      <w:r w:rsidDel="00000000" w:rsidR="00000000" w:rsidRPr="00000000">
        <w:rPr>
          <w:rFonts w:ascii="Trebuchet MS" w:cs="Trebuchet MS" w:eastAsia="Trebuchet MS" w:hAnsi="Trebuchet MS"/>
          <w:i w:val="1"/>
          <w:iCs w:val="1"/>
          <w:color w:val="fee6cf"/>
          <w:sz w:val="23"/>
          <w:szCs w:val="23"/>
          <w:rtl w:val="0"/>
        </w:rPr>
        <w:t xml:space="preserve">Building a ’Bum-pa for Sino-Caucasian: A Reply to Sergei Starostin’s Reply</w:t>
      </w:r>
      <w:r w:rsidDel="00000000" w:rsidR="00000000" w:rsidRPr="00000000">
        <w:rPr>
          <w:rFonts w:ascii="Trebuchet MS" w:cs="Trebuchet MS" w:eastAsia="Trebuchet MS" w:hAnsi="Trebuchet MS"/>
          <w:color w:val="fee6cf"/>
          <w:sz w:val="23"/>
          <w:szCs w:val="23"/>
          <w:rtl w:val="0"/>
        </w:rPr>
        <w:t xml:space="preserve">. Journal of Chinese Linguistics, 30</w:t>
      </w:r>
    </w:p>
    <w:p w:rsidR="00000000" w:rsidDel="00000000" w:rsidP="00000000" w:rsidRDefault="00000000" w:rsidRPr="00000000" w14:paraId="0000001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Werner, Heinrich (1999). </w:t>
      </w:r>
      <w:r w:rsidDel="00000000" w:rsidR="00000000" w:rsidRPr="00000000">
        <w:rPr>
          <w:rFonts w:ascii="Trebuchet MS" w:cs="Trebuchet MS" w:eastAsia="Trebuchet MS" w:hAnsi="Trebuchet MS"/>
          <w:i w:val="1"/>
          <w:iCs w:val="1"/>
          <w:color w:val="fee6cf"/>
          <w:sz w:val="23"/>
          <w:szCs w:val="23"/>
          <w:rtl w:val="0"/>
        </w:rPr>
        <w:t xml:space="preserve">Das Klassensystem in den Jenissej-Sprachen</w:t>
      </w:r>
      <w:r w:rsidDel="00000000" w:rsidR="00000000" w:rsidRPr="00000000">
        <w:rPr>
          <w:rFonts w:ascii="Trebuchet MS" w:cs="Trebuchet MS" w:eastAsia="Trebuchet MS" w:hAnsi="Trebuchet MS"/>
          <w:color w:val="fee6cf"/>
          <w:sz w:val="23"/>
          <w:szCs w:val="23"/>
          <w:rtl w:val="0"/>
        </w:rPr>
        <w:t xml:space="preserve">. Wiesbaden, Harrassowitz.</w:t>
      </w:r>
    </w:p>
    <w:p w:rsidR="00000000" w:rsidDel="00000000" w:rsidP="00000000" w:rsidRDefault="00000000" w:rsidRPr="00000000" w14:paraId="0000001E">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Thursday, January 07, 2010</w:t>
        </w:r>
      </w:hyperlink>
      <w:r w:rsidDel="00000000" w:rsidR="00000000" w:rsidRPr="00000000">
        <w:rPr>
          <w:rtl w:val="0"/>
        </w:rPr>
      </w:r>
    </w:p>
    <w:p w:rsidR="00000000" w:rsidDel="00000000" w:rsidP="00000000" w:rsidRDefault="00000000" w:rsidRPr="00000000" w14:paraId="0000001F">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Na-Dene </w:t>
        </w:r>
      </w:hyperlink>
      <w:r w:rsidDel="00000000" w:rsidR="00000000" w:rsidRPr="00000000">
        <w:rPr>
          <w:rFonts w:ascii="Trebuchet MS" w:cs="Trebuchet MS" w:eastAsia="Trebuchet MS" w:hAnsi="Trebuchet MS"/>
          <w:color w:val="d19742"/>
          <w:sz w:val="23"/>
          <w:szCs w:val="23"/>
          <w:rtl w:val="0"/>
        </w:rPr>
        <w:t xml:space="preserve">, </w:t>
      </w:r>
      <w:hyperlink r:id="rId11">
        <w:r w:rsidDel="00000000" w:rsidR="00000000" w:rsidRPr="00000000">
          <w:rPr>
            <w:rFonts w:ascii="Trebuchet MS" w:cs="Trebuchet MS" w:eastAsia="Trebuchet MS" w:hAnsi="Trebuchet MS"/>
            <w:color w:val="db956a"/>
            <w:sz w:val="23"/>
            <w:szCs w:val="23"/>
            <w:rtl w:val="0"/>
          </w:rPr>
          <w:t xml:space="preserve">Proto-Eyak</w:t>
        </w:r>
      </w:hyperlink>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Proto-Eyak" TargetMode="External"/><Relationship Id="rId10" Type="http://schemas.openxmlformats.org/officeDocument/2006/relationships/hyperlink" Target="https://forgottenlanguages-full.forgottenlanguages.org/search/label/Na-Dene"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1/proto-eyak-and-na-dene-asymmetry.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1/proto-eyak-and-na-dene-asymmet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