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qlo6jvssf1k"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Sòledik obsyé lánslóaslàim</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1844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844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Raedd dèewèdiolìl slians sòjíedies, liwérlúsùdion ys lùt aeon lóssódde lòdeslíss. S'wédèrlèlìdion id akdion ladd zágwèl ebadès eiygadd aeon sóglúwúgwènt delà. Gannslírs, wúlìnjíers, id sslildy lérgwènts nu wùrléd s'ejìlùlèk ebadè wùund sòlé laedis wéir aedda iwéas ke eiyns debmárdèd ifeshi ansò ladd slírdéin indèllàkdìals laedis s'slasgwèlásl.</w:t>
      </w:r>
    </w:p>
    <w:p w:rsidR="00000000" w:rsidDel="00000000" w:rsidP="00000000" w:rsidRDefault="00000000" w:rsidRPr="00000000" w14:paraId="0000000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traditional Jewish societies, modernization was not a passive process. The determination and action of local elites played a significant role. Bankers, financiers, and wealthy merchants who formed the economic elite found some of their own ideas and views supported by those of certain intellectuals of the Haskalah.</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S'asmaedions ladd wésò tnu slàdeups jìndderfràd. Légwèlúsms sha gwènslà yé déjíng sùlò raedd aeon slians gwerslàoisóe ank ys olòlúng dí s'yst. Lùt onat wèd èk gannslírs enjìuefrà lesjíbak lòdewíkdion; wéy edeth díok s'luslíssùry sdèps dí sòe yt s'lòdeslikts ladd s'slasgwèláfr yé gwèrèed szir eod, issa slad gwíen anlu raedd easdèrn eudelò, sem s'lórdijílódion laedis s'lesjíbam:</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[aspirations] of these two groups converged. Mechanisms for [change] were taking shape in a Jewish bourgeoisie which was looking to the west. Not only did rich bankers encourage [public] production; they also took the necessary steps to see that the products of the Haskalah were [granted] their [path], as had been done in eastern Europe, with the participation of the press:</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In traditional Judaism the present is seen as an attempt to perpetuate the ideals of the past; the latter serves as a model for the former. Up until the first half of the nineteenth century, the Sephardi communities of the Near East fit this model of traditional Jewish society. This is not to say that these communities remained static and immutable. On the contrary, the Sephardi communities, like any society, underwent constant change as each generation made its own contribution to the traditional heritage.</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D">
      <w:pPr>
        <w:shd w:fill="38160d" w:val="clear"/>
        <w:rPr>
          <w:rFonts w:ascii="Trebuchet MS" w:cs="Trebuchet MS" w:eastAsia="Trebuchet MS" w:hAnsi="Trebuchet MS"/>
          <w:b w:val="1"/>
          <w:bCs w:val="1"/>
          <w:i w:val="1"/>
          <w:iCs w:val="1"/>
          <w:color w:val="fee6cf"/>
          <w:sz w:val="23"/>
          <w:szCs w:val="23"/>
        </w:rPr>
      </w:pPr>
      <w:r w:rsidDel="00000000" w:rsidR="00000000" w:rsidRPr="00000000">
        <w:rPr>
          <w:rFonts w:ascii="Trebuchet MS" w:cs="Trebuchet MS" w:eastAsia="Trebuchet MS" w:hAnsi="Trebuchet MS"/>
          <w:b w:val="1"/>
          <w:bCs w:val="1"/>
          <w:i w:val="1"/>
          <w:iCs w:val="1"/>
          <w:color w:val="fee6cf"/>
          <w:sz w:val="23"/>
          <w:szCs w:val="23"/>
          <w:rtl w:val="0"/>
        </w:rPr>
        <w:t xml:space="preserve">Esther Benbassa</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Issa wésò szir tinu ebadè slàdeups yé lùt aatys ablà dí éat sòlàat fudd wéir aedda ésòurslís, wéy dìrlud dí wéir ysdèrn jìundèrlórts sha debmárt. Raedd dek jírymsdénslís, liwérlúsùdion gwígwèlé ysdèrlúsùdion id jìnsòuentat slad aeon fénk, vaj làss ofdèn aeon slàrlen, gwèekdèr. Onslí afráin, s'éládion gwítgadn s'liwérlúsóng efwùrts laedis ysdèrn eudelòan sliyèes ke s'zágwèl jìmlílúty wédèrlèlud s'lìdìé ladd liwérlúsùdion raedd aeon lórdiylár jìmlílúty. Raedd leny gwèsòs s'liwérlúsóng sliyèes ladd s'yst eiygadd s'delà raedd s'east ank ys wúllàd raedd s'yst ifeshi s'lìdion-sdédè, ank, raedd s'lìlé ladd ulúwùrlèti, wùugslt savo jìrmáedè iwéndidies ke sòugslt dí liwérlúsò raedd iz slians debfrikts ddeugsl auanèdéèan léans:</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As these current two elite groups were not always able to act </w:t>
      </w:r>
      <w:r w:rsidDel="00000000" w:rsidR="00000000" w:rsidRPr="00000000">
        <w:rPr>
          <w:rFonts w:ascii="Trebuchet MS" w:cs="Trebuchet MS" w:eastAsia="Trebuchet MS" w:hAnsi="Trebuchet MS"/>
          <w:color w:val="fee6cf"/>
          <w:sz w:val="23"/>
          <w:szCs w:val="23"/>
          <w:rtl w:val="0"/>
        </w:rPr>
        <w:t xml:space="preserve">separate</w:t>
      </w:r>
      <w:r w:rsidDel="00000000" w:rsidR="00000000" w:rsidRPr="00000000">
        <w:rPr>
          <w:rFonts w:ascii="Trebuchet MS" w:cs="Trebuchet MS" w:eastAsia="Trebuchet MS" w:hAnsi="Trebuchet MS"/>
          <w:color w:val="fee6cf"/>
          <w:sz w:val="23"/>
          <w:szCs w:val="23"/>
          <w:rtl w:val="0"/>
        </w:rPr>
        <w:t xml:space="preserve"> from their own resources, they turned to their western counterparts for support. In such circumstances, modernization became westernization and consequently had a French, or less often a German, character. Once again, the relation between the modernizing efforts of western European Jewries and the local community determined the nature of modernization in a particular community. In many cases the modernizing Jewries of the west played the role in the east which was filled in the west by the nation-state, which, in the name of universality, focused all corporate identities and sought to modernize its Jewish subjects through [humanitarian] means:</w:t>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3">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 role played by the press, both in disseminating the key ideas of modernity and in protecting traditional culture at least the popular Judeo-Spanish version of that culture cannot be disputed. The press underwent its most important development between 1870 and 1880.</w:t>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Slians làawérs raedd ysdèrn eudelò, anlà indèrlòéding zágwèl éwùrms raedd bagslt ladd wéir aedda ekslòèenfrí, szir felet yt wèékt indèrddendion raedd s'sliyèes laedis islám ys aeon lásdiwúablà léans ladd slelmang wésò jìmlílúdies aybt dí luw jìndèksts id jírymsdénslís.</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Jewish leaders in western Europe, while interpreting local reforms in light of their own experience, currently felt that direct intervention in the Jewries of Islam was a [desirable] means of helping these communities adapt to new contexts and circumstances.</w:t>
      </w:r>
    </w:p>
    <w:p w:rsidR="00000000" w:rsidDel="00000000" w:rsidP="00000000" w:rsidRDefault="00000000" w:rsidRPr="00000000" w14:paraId="0000001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Harriet Pass Freidenreich</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A">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 Jews of Yugoslavia: A Quest for Community</w:t>
      </w:r>
    </w:p>
    <w:p w:rsidR="00000000" w:rsidDel="00000000" w:rsidP="00000000" w:rsidRDefault="00000000" w:rsidRPr="00000000" w14:paraId="0000001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Philadelphia: Jewish Publication Society of America, 1979</w:t>
      </w:r>
    </w:p>
    <w:p w:rsidR="00000000" w:rsidDel="00000000" w:rsidP="00000000" w:rsidRDefault="00000000" w:rsidRPr="00000000" w14:paraId="0000001C">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D">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Bulletin of the Society Dorshei ha-Haskalah</w:t>
      </w:r>
    </w:p>
    <w:p w:rsidR="00000000" w:rsidDel="00000000" w:rsidP="00000000" w:rsidRDefault="00000000" w:rsidRPr="00000000" w14:paraId="0000001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Adrianople: Press of the State, 5649 (1889)</w:t>
      </w:r>
    </w:p>
    <w:p w:rsidR="00000000" w:rsidDel="00000000" w:rsidP="00000000" w:rsidRDefault="00000000" w:rsidRPr="00000000" w14:paraId="0000001F">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Saturday, January 16, 2010</w:t>
        </w:r>
      </w:hyperlink>
      <w:r w:rsidDel="00000000" w:rsidR="00000000" w:rsidRPr="00000000">
        <w:rPr>
          <w:rtl w:val="0"/>
        </w:rPr>
      </w:r>
    </w:p>
    <w:p w:rsidR="00000000" w:rsidDel="00000000" w:rsidP="00000000" w:rsidRDefault="00000000" w:rsidRPr="00000000" w14:paraId="00000020">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Sephardim</w:t>
        </w:r>
      </w:hyperlink>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Sephardim" TargetMode="Externa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10/01/soledik-obsye-lansloaslaim.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1/soledik-obsye-lansloaslai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