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000000"/>
  <w:body>
    <w:p w:rsidR="00000000" w:rsidDel="00000000" w:rsidP="00000000" w:rsidRDefault="00000000" w:rsidRPr="00000000" w14:paraId="00000001">
      <w:pPr>
        <w:pStyle w:val="Heading3"/>
        <w:keepNext w:val="0"/>
        <w:keepLines w:val="0"/>
        <w:pBdr>
          <w:top w:color="907e2f" w:space="1" w:sz="0" w:val="none"/>
          <w:left w:color="907e2f" w:space="21" w:sz="8" w:val="dotted"/>
          <w:bottom w:color="907e2f" w:space="1" w:sz="8" w:val="dotted"/>
          <w:right w:color="907e2f" w:space="10" w:sz="8" w:val="dotted"/>
        </w:pBdr>
        <w:shd w:fill="38160d" w:val="clear"/>
        <w:spacing w:after="0" w:before="0" w:lineRule="auto"/>
        <w:rPr>
          <w:rFonts w:ascii="Trebuchet MS" w:cs="Trebuchet MS" w:eastAsia="Trebuchet MS" w:hAnsi="Trebuchet MS"/>
          <w:b w:val="1"/>
          <w:bCs w:val="1"/>
          <w:color w:val="bd965d"/>
          <w:sz w:val="30"/>
          <w:szCs w:val="30"/>
        </w:rPr>
      </w:pPr>
      <w:bookmarkStart w:colFirst="0" w:colLast="0" w:name="_gtf5u6ahs238" w:id="0"/>
      <w:bookmarkEnd w:id="0"/>
      <w:hyperlink r:id="rId6">
        <w:r w:rsidDel="00000000" w:rsidR="00000000" w:rsidRPr="00000000">
          <w:rPr>
            <w:rFonts w:ascii="Trebuchet MS" w:cs="Trebuchet MS" w:eastAsia="Trebuchet MS" w:hAnsi="Trebuchet MS"/>
            <w:b w:val="1"/>
            <w:bCs w:val="1"/>
            <w:color w:val="bd965d"/>
            <w:sz w:val="30"/>
            <w:szCs w:val="30"/>
            <w:rtl w:val="0"/>
          </w:rPr>
          <w:t xml:space="preserve">S' Dèaksler's Slàemler Gruk - Sòjìnd Ewèdion</w:t>
        </w:r>
      </w:hyperlink>
      <w:r w:rsidDel="00000000" w:rsidR="00000000" w:rsidRPr="00000000">
        <w:rPr>
          <w:rtl w:val="0"/>
        </w:rPr>
      </w:r>
    </w:p>
    <w:p w:rsidR="00000000" w:rsidDel="00000000" w:rsidP="00000000" w:rsidRDefault="00000000" w:rsidRPr="00000000" w14:paraId="00000002">
      <w:pPr>
        <w:shd w:fill="38160d" w:val="clear"/>
        <w:jc w:val="center"/>
        <w:rPr>
          <w:rFonts w:ascii="Trebuchet MS" w:cs="Trebuchet MS" w:eastAsia="Trebuchet MS" w:hAnsi="Trebuchet MS"/>
          <w:b w:val="1"/>
          <w:bCs w:val="1"/>
          <w:color w:val="bd965d"/>
          <w:sz w:val="30"/>
          <w:szCs w:val="30"/>
        </w:rPr>
      </w:pPr>
      <w:r w:rsidDel="00000000" w:rsidR="00000000" w:rsidRPr="00000000">
        <w:rPr>
          <w:rFonts w:ascii="Trebuchet MS" w:cs="Trebuchet MS" w:eastAsia="Trebuchet MS" w:hAnsi="Trebuchet MS"/>
          <w:b w:val="1"/>
          <w:bCs w:val="1"/>
          <w:color w:val="bd965d"/>
          <w:sz w:val="30"/>
          <w:szCs w:val="30"/>
        </w:rPr>
        <w:drawing>
          <wp:inline distB="114300" distT="114300" distL="114300" distR="114300">
            <wp:extent cx="2273300" cy="3048000"/>
            <wp:effectExtent b="9525" l="9525" r="9525" t="9525"/>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2273300" cy="3048000"/>
                    </a:xfrm>
                    <a:prstGeom prst="rect"/>
                    <a:ln w="9525">
                      <a:solidFill>
                        <a:srgbClr val="907E2F"/>
                      </a:solidFill>
                      <a:prstDash val="solid"/>
                    </a:ln>
                  </pic:spPr>
                </pic:pic>
              </a:graphicData>
            </a:graphic>
          </wp:inline>
        </w:drawing>
      </w:r>
      <w:r w:rsidDel="00000000" w:rsidR="00000000" w:rsidRPr="00000000">
        <w:rPr>
          <w:rtl w:val="0"/>
        </w:rPr>
      </w:r>
    </w:p>
    <w:p w:rsidR="00000000" w:rsidDel="00000000" w:rsidP="00000000" w:rsidRDefault="00000000" w:rsidRPr="00000000" w14:paraId="00000003">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4">
      <w:pPr>
        <w:shd w:fill="38160d" w:val="clear"/>
        <w:jc w:val="both"/>
        <w:rPr>
          <w:rFonts w:ascii="Courier New" w:cs="Courier New" w:eastAsia="Courier New" w:hAnsi="Courier New"/>
          <w:b w:val="1"/>
          <w:bCs w:val="1"/>
          <w:color w:val="fee6cf"/>
          <w:sz w:val="28"/>
          <w:szCs w:val="28"/>
        </w:rPr>
      </w:pPr>
      <w:r w:rsidDel="00000000" w:rsidR="00000000" w:rsidRPr="00000000">
        <w:rPr>
          <w:rFonts w:ascii="Courier New" w:cs="Courier New" w:eastAsia="Courier New" w:hAnsi="Courier New"/>
          <w:b w:val="1"/>
          <w:bCs w:val="1"/>
          <w:color w:val="fee6cf"/>
          <w:sz w:val="28"/>
          <w:szCs w:val="28"/>
          <w:rtl w:val="0"/>
        </w:rPr>
        <w:t xml:space="preserve">Lòéwòslí</w:t>
      </w:r>
    </w:p>
    <w:p w:rsidR="00000000" w:rsidDel="00000000" w:rsidP="00000000" w:rsidRDefault="00000000" w:rsidRPr="00000000" w14:paraId="00000005">
      <w:pPr>
        <w:shd w:fill="38160d" w:val="clear"/>
        <w:jc w:val="both"/>
        <w:rPr>
          <w:rFonts w:ascii="Courier New" w:cs="Courier New" w:eastAsia="Courier New" w:hAnsi="Courier New"/>
          <w:b w:val="1"/>
          <w:bCs w:val="1"/>
          <w:color w:val="fee6cf"/>
          <w:sz w:val="28"/>
          <w:szCs w:val="28"/>
        </w:rPr>
      </w:pPr>
      <w:r w:rsidDel="00000000" w:rsidR="00000000" w:rsidRPr="00000000">
        <w:rPr>
          <w:rFonts w:ascii="Courier New" w:cs="Courier New" w:eastAsia="Courier New" w:hAnsi="Courier New"/>
          <w:b w:val="1"/>
          <w:bCs w:val="1"/>
          <w:color w:val="fee6cf"/>
          <w:sz w:val="28"/>
          <w:szCs w:val="28"/>
          <w:rtl w:val="0"/>
        </w:rPr>
        <w:t xml:space="preserve">S'dèaksler's slàemler gruk idda wésóglud sha sdìwénts n ren lòélóèng dí gwí-jìlé engbas vaj lánslóaslà arts dèakslers, issa yll issa sha slíéwéndialàd dèakslers n ynt dí klùw lié agwet slàemler. List slàemler gruks wùys fudd dèrlèlùzágy. Sòlé add aeon wèsyssóon ladd s' jìnlukdion gwítgadn slàemler id yèding. S'dèaksler's slàemler gruk, sloydder, idda wèffént. Slírdéinat, iz dèéats dèrlèlùzágy andeugslat, gwét iz idda wòr lié yn lást aeon bast ladd slàemler dèrms. Iz idda lùt aeon slandgruk id ys ludder indènwéd dí gwí olu.</w:t>
      </w:r>
    </w:p>
    <w:p w:rsidR="00000000" w:rsidDel="00000000" w:rsidP="00000000" w:rsidRDefault="00000000" w:rsidRPr="00000000" w14:paraId="00000006">
      <w:pPr>
        <w:shd w:fill="38160d" w:val="clear"/>
        <w:jc w:val="both"/>
        <w:rPr>
          <w:rFonts w:ascii="Courier New" w:cs="Courier New" w:eastAsia="Courier New" w:hAnsi="Courier New"/>
          <w:b w:val="1"/>
          <w:bCs w:val="1"/>
          <w:color w:val="fee6cf"/>
          <w:sz w:val="28"/>
          <w:szCs w:val="28"/>
        </w:rPr>
      </w:pPr>
      <w:r w:rsidDel="00000000" w:rsidR="00000000" w:rsidRPr="00000000">
        <w:rPr>
          <w:rFonts w:ascii="Courier New" w:cs="Courier New" w:eastAsia="Courier New" w:hAnsi="Courier New"/>
          <w:b w:val="1"/>
          <w:bCs w:val="1"/>
          <w:color w:val="fee6cf"/>
          <w:sz w:val="28"/>
          <w:szCs w:val="28"/>
          <w:rtl w:val="0"/>
        </w:rPr>
        <w:t xml:space="preserve">:::</w:t>
      </w:r>
    </w:p>
    <w:p w:rsidR="00000000" w:rsidDel="00000000" w:rsidP="00000000" w:rsidRDefault="00000000" w:rsidRPr="00000000" w14:paraId="00000007">
      <w:pPr>
        <w:shd w:fill="38160d" w:val="clear"/>
        <w:jc w:val="both"/>
        <w:rPr>
          <w:rFonts w:ascii="Courier New" w:cs="Courier New" w:eastAsia="Courier New" w:hAnsi="Courier New"/>
          <w:b w:val="1"/>
          <w:bCs w:val="1"/>
          <w:color w:val="fee6cf"/>
          <w:sz w:val="28"/>
          <w:szCs w:val="28"/>
        </w:rPr>
      </w:pPr>
      <w:r w:rsidDel="00000000" w:rsidR="00000000" w:rsidRPr="00000000">
        <w:rPr>
          <w:rFonts w:ascii="Courier New" w:cs="Courier New" w:eastAsia="Courier New" w:hAnsi="Courier New"/>
          <w:b w:val="1"/>
          <w:bCs w:val="1"/>
          <w:color w:val="fee6cf"/>
          <w:sz w:val="28"/>
          <w:szCs w:val="28"/>
          <w:rtl w:val="0"/>
        </w:rPr>
        <w:t xml:space="preserve">Preface</w:t>
      </w:r>
    </w:p>
    <w:p w:rsidR="00000000" w:rsidDel="00000000" w:rsidP="00000000" w:rsidRDefault="00000000" w:rsidRPr="00000000" w14:paraId="00000008">
      <w:pPr>
        <w:shd w:fill="38160d" w:val="clear"/>
        <w:jc w:val="both"/>
        <w:rPr>
          <w:rFonts w:ascii="Courier New" w:cs="Courier New" w:eastAsia="Courier New" w:hAnsi="Courier New"/>
          <w:b w:val="1"/>
          <w:bCs w:val="1"/>
          <w:color w:val="fee6cf"/>
          <w:sz w:val="28"/>
          <w:szCs w:val="28"/>
        </w:rPr>
      </w:pPr>
      <w:r w:rsidDel="00000000" w:rsidR="00000000" w:rsidRPr="00000000">
        <w:rPr>
          <w:rFonts w:ascii="Courier New" w:cs="Courier New" w:eastAsia="Courier New" w:hAnsi="Courier New"/>
          <w:b w:val="1"/>
          <w:bCs w:val="1"/>
          <w:color w:val="fee6cf"/>
          <w:sz w:val="28"/>
          <w:szCs w:val="28"/>
          <w:rtl w:val="0"/>
        </w:rPr>
        <w:t xml:space="preserve">The teacher's grammar book is designed for students who are preparing to become english or language arts teachers, as well as for credentialed teachers who want to know more about grammar. Most grammar books focus on terminology. Some add a discussion of the connection between grammar and writing. The teacher's grammar book, however, is different. Certainly, it treats terminology thoroughly, but it is far more than just a list of grammar terms. It is not a handbook and was never intended to be one.</w:t>
      </w:r>
    </w:p>
    <w:p w:rsidR="00000000" w:rsidDel="00000000" w:rsidP="00000000" w:rsidRDefault="00000000" w:rsidRPr="00000000" w14:paraId="00000009">
      <w:pPr>
        <w:shd w:fill="38160d" w:val="clear"/>
        <w:jc w:val="both"/>
        <w:rPr>
          <w:rFonts w:ascii="Courier New" w:cs="Courier New" w:eastAsia="Courier New" w:hAnsi="Courier New"/>
          <w:color w:val="fee6cf"/>
          <w:sz w:val="26"/>
          <w:szCs w:val="26"/>
        </w:rPr>
      </w:pPr>
      <w:r w:rsidDel="00000000" w:rsidR="00000000" w:rsidRPr="00000000">
        <w:rPr>
          <w:rtl w:val="0"/>
        </w:rPr>
      </w:r>
    </w:p>
    <w:p w:rsidR="00000000" w:rsidDel="00000000" w:rsidP="00000000" w:rsidRDefault="00000000" w:rsidRPr="00000000" w14:paraId="0000000A">
      <w:pPr>
        <w:shd w:fill="38160d" w:val="clear"/>
        <w:jc w:val="both"/>
        <w:rPr>
          <w:rFonts w:ascii="Courier New" w:cs="Courier New" w:eastAsia="Courier New" w:hAnsi="Courier New"/>
          <w:color w:val="fee6cf"/>
          <w:sz w:val="26"/>
          <w:szCs w:val="26"/>
        </w:rPr>
      </w:pPr>
      <w:r w:rsidDel="00000000" w:rsidR="00000000" w:rsidRPr="00000000">
        <w:rPr>
          <w:rFonts w:ascii="Courier New" w:cs="Courier New" w:eastAsia="Courier New" w:hAnsi="Courier New"/>
          <w:color w:val="fee6cf"/>
          <w:sz w:val="26"/>
          <w:szCs w:val="26"/>
          <w:rtl w:val="0"/>
        </w:rPr>
        <w:br w:type="textWrapping"/>
        <w:t xml:space="preserve">S'dèaksler's slàemler gruk ys wésóglud dí offr aeon easy-dí-usò slóiwé dí dèaksling léands id slàemler id usùslà uesdions, aeon jìmgwìlìdion yt raenid lùt gwíen éawèat adailáblà gwíwùé. Raedd adwèdion, iz lòdejewés aeon odderjeew ladd engbas slàemler yt idda inwùrléd lùt onat ifeshi slisdíègwèl wéddezáplénts raedd s' wúeld gwét alsò ifeshi aeon daèety ladd lòysloslegwèl, ésòarksl, id wúzásòwúgwèl isdees yt unwérbae slàemler id raedd am efwùrts dí unwérsdénd slàemler, lánslóaslà, yèding, id dèaksling. out ladd wès anwé-ensleng kspzáedion elérslàs s' jeew yt aeon dèaksler's ksloislí ladd slàemler éflàkts wúzásòwúgwèl id lòysloslegwèl oèendédions yt infzàenslí gyd s' jìndènt id s' léands ladd lánslóaslà arts insdèsúkdion.</w:t>
      </w:r>
    </w:p>
    <w:p w:rsidR="00000000" w:rsidDel="00000000" w:rsidP="00000000" w:rsidRDefault="00000000" w:rsidRPr="00000000" w14:paraId="0000000B">
      <w:pPr>
        <w:shd w:fill="38160d" w:val="clear"/>
        <w:jc w:val="both"/>
        <w:rPr>
          <w:rFonts w:ascii="Courier New" w:cs="Courier New" w:eastAsia="Courier New" w:hAnsi="Courier New"/>
          <w:color w:val="fee6cf"/>
          <w:sz w:val="26"/>
          <w:szCs w:val="26"/>
        </w:rPr>
      </w:pPr>
      <w:r w:rsidDel="00000000" w:rsidR="00000000" w:rsidRPr="00000000">
        <w:rPr>
          <w:rFonts w:ascii="Courier New" w:cs="Courier New" w:eastAsia="Courier New" w:hAnsi="Courier New"/>
          <w:color w:val="fee6cf"/>
          <w:sz w:val="26"/>
          <w:szCs w:val="26"/>
          <w:rtl w:val="0"/>
        </w:rPr>
        <w:t xml:space="preserve">:::</w:t>
      </w:r>
    </w:p>
    <w:p w:rsidR="00000000" w:rsidDel="00000000" w:rsidP="00000000" w:rsidRDefault="00000000" w:rsidRPr="00000000" w14:paraId="0000000C">
      <w:pPr>
        <w:shd w:fill="38160d" w:val="clear"/>
        <w:jc w:val="both"/>
        <w:rPr>
          <w:rFonts w:ascii="Courier New" w:cs="Courier New" w:eastAsia="Courier New" w:hAnsi="Courier New"/>
          <w:color w:val="fee6cf"/>
          <w:sz w:val="26"/>
          <w:szCs w:val="26"/>
        </w:rPr>
      </w:pPr>
      <w:r w:rsidDel="00000000" w:rsidR="00000000" w:rsidRPr="00000000">
        <w:rPr>
          <w:rFonts w:ascii="Courier New" w:cs="Courier New" w:eastAsia="Courier New" w:hAnsi="Courier New"/>
          <w:color w:val="fee6cf"/>
          <w:sz w:val="26"/>
          <w:szCs w:val="26"/>
          <w:rtl w:val="0"/>
        </w:rPr>
        <w:t xml:space="preserve">The teacher's grammar book was designed to offer an easy-to-use guide to teaching methods and grammar and usage questions, a combination that has not been readily available before. In addition, it provides an overview of english grammar that is informed not only by historical developments in the field but also by a variety of pedagogical, research, and philosophical issues that underlie grammar and our efforts to understand grammar, language, writing, and teaching. Out of this wide-ranging exploration emerges the view that a teacher's choice of grammar reflects philosophical and pedagogical orientations that influence both the content and the methods of language arts instruction.</w:t>
      </w:r>
    </w:p>
    <w:p w:rsidR="00000000" w:rsidDel="00000000" w:rsidP="00000000" w:rsidRDefault="00000000" w:rsidRPr="00000000" w14:paraId="0000000D">
      <w:pPr>
        <w:shd w:fill="38160d" w:val="clear"/>
        <w:rPr>
          <w:rFonts w:ascii="Trebuchet MS" w:cs="Trebuchet MS" w:eastAsia="Trebuchet MS" w:hAnsi="Trebuchet MS"/>
          <w:color w:val="fee6cf"/>
          <w:sz w:val="23"/>
          <w:szCs w:val="23"/>
        </w:rPr>
      </w:pPr>
      <w:r w:rsidDel="00000000" w:rsidR="00000000" w:rsidRPr="00000000">
        <w:rPr>
          <w:rtl w:val="0"/>
        </w:rPr>
      </w:r>
    </w:p>
    <w:p w:rsidR="00000000" w:rsidDel="00000000" w:rsidP="00000000" w:rsidRDefault="00000000" w:rsidRPr="00000000" w14:paraId="0000000E">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by Ayndryl on </w:t>
      </w:r>
      <w:hyperlink r:id="rId8">
        <w:r w:rsidDel="00000000" w:rsidR="00000000" w:rsidRPr="00000000">
          <w:rPr>
            <w:rFonts w:ascii="Trebuchet MS" w:cs="Trebuchet MS" w:eastAsia="Trebuchet MS" w:hAnsi="Trebuchet MS"/>
            <w:color w:val="db956a"/>
            <w:sz w:val="23"/>
            <w:szCs w:val="23"/>
            <w:rtl w:val="0"/>
          </w:rPr>
          <w:t xml:space="preserve">Monday, December 21, 2009</w:t>
        </w:r>
      </w:hyperlink>
      <w:r w:rsidDel="00000000" w:rsidR="00000000" w:rsidRPr="00000000">
        <w:rPr>
          <w:rtl w:val="0"/>
        </w:rPr>
      </w:r>
    </w:p>
    <w:p w:rsidR="00000000" w:rsidDel="00000000" w:rsidP="00000000" w:rsidRDefault="00000000" w:rsidRPr="00000000" w14:paraId="0000000F">
      <w:pPr>
        <w:shd w:fill="38160d" w:val="clear"/>
        <w:spacing w:line="360" w:lineRule="auto"/>
        <w:jc w:val="right"/>
        <w:rPr>
          <w:rFonts w:ascii="Trebuchet MS" w:cs="Trebuchet MS" w:eastAsia="Trebuchet MS" w:hAnsi="Trebuchet MS"/>
          <w:color w:val="db956a"/>
          <w:sz w:val="23"/>
          <w:szCs w:val="23"/>
        </w:rPr>
      </w:pPr>
      <w:r w:rsidDel="00000000" w:rsidR="00000000" w:rsidRPr="00000000">
        <w:rPr>
          <w:rFonts w:ascii="Trebuchet MS" w:cs="Trebuchet MS" w:eastAsia="Trebuchet MS" w:hAnsi="Trebuchet MS"/>
          <w:color w:val="d19742"/>
          <w:sz w:val="23"/>
          <w:szCs w:val="23"/>
          <w:rtl w:val="0"/>
        </w:rPr>
        <w:t xml:space="preserve">Labels </w:t>
      </w:r>
      <w:hyperlink r:id="rId9">
        <w:r w:rsidDel="00000000" w:rsidR="00000000" w:rsidRPr="00000000">
          <w:rPr>
            <w:rFonts w:ascii="Trebuchet MS" w:cs="Trebuchet MS" w:eastAsia="Trebuchet MS" w:hAnsi="Trebuchet MS"/>
            <w:color w:val="db956a"/>
            <w:sz w:val="23"/>
            <w:szCs w:val="23"/>
            <w:rtl w:val="0"/>
          </w:rPr>
          <w:t xml:space="preserve">Ladd cryptolect</w:t>
        </w:r>
      </w:hyperlink>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forgottenlanguages-full.forgottenlanguages.org/search/label/Ladd%20cryptolect" TargetMode="External"/><Relationship Id="rId5" Type="http://schemas.openxmlformats.org/officeDocument/2006/relationships/styles" Target="styles.xml"/><Relationship Id="rId6" Type="http://schemas.openxmlformats.org/officeDocument/2006/relationships/hyperlink" Target="https://forgottenlanguages-full.forgottenlanguages.org/2009/12/s-deaksler-slaemler-gruk-sojind-ewedion.html" TargetMode="External"/><Relationship Id="rId7" Type="http://schemas.openxmlformats.org/officeDocument/2006/relationships/image" Target="media/image1.jpg"/><Relationship Id="rId8" Type="http://schemas.openxmlformats.org/officeDocument/2006/relationships/hyperlink" Target="https://forgottenlanguages-full.forgottenlanguages.org/2009/12/s-deaksler-slaemler-gruk-sojind-ewed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