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4"/>
          <w:szCs w:val="34"/>
        </w:rPr>
      </w:pPr>
      <w:bookmarkStart w:colFirst="0" w:colLast="0" w:name="_vras1eaixnpd" w:id="0"/>
      <w:bookmarkEnd w:id="0"/>
      <w:hyperlink r:id="rId6">
        <w:r w:rsidDel="00000000" w:rsidR="00000000" w:rsidRPr="00000000">
          <w:rPr>
            <w:rFonts w:ascii="Trebuchet MS" w:cs="Trebuchet MS" w:eastAsia="Trebuchet MS" w:hAnsi="Trebuchet MS"/>
            <w:b w:val="1"/>
            <w:bCs w:val="1"/>
            <w:color w:val="bd965d"/>
            <w:sz w:val="34"/>
            <w:szCs w:val="34"/>
            <w:rtl w:val="0"/>
          </w:rPr>
          <w:t xml:space="preserve">S'gruk ladd s'injesóblà lánslóaslàs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4"/>
          <w:szCs w:val="34"/>
        </w:rPr>
      </w:pPr>
      <w:r w:rsidDel="00000000" w:rsidR="00000000" w:rsidRPr="00000000">
        <w:rPr>
          <w:rFonts w:ascii="Trebuchet MS" w:cs="Trebuchet MS" w:eastAsia="Trebuchet MS" w:hAnsi="Trebuchet MS"/>
          <w:b w:val="1"/>
          <w:bCs w:val="1"/>
          <w:color w:val="bd965d"/>
          <w:sz w:val="34"/>
          <w:szCs w:val="34"/>
        </w:rPr>
        <w:drawing>
          <wp:inline distB="114300" distT="114300" distL="114300" distR="114300">
            <wp:extent cx="2311400" cy="3035300"/>
            <wp:effectExtent b="0" l="0" r="0" t="0"/>
            <wp:docPr descr="invisiblelanguages_cover" id="1" name="image2.jpg"/>
            <a:graphic>
              <a:graphicData uri="http://schemas.openxmlformats.org/drawingml/2006/picture">
                <pic:pic>
                  <pic:nvPicPr>
                    <pic:cNvPr descr="invisiblelanguages_cover" id="0" name="image2.jpg"/>
                    <pic:cNvPicPr preferRelativeResize="0"/>
                  </pic:nvPicPr>
                  <pic:blipFill>
                    <a:blip r:embed="rId7"/>
                    <a:srcRect b="0" l="0" r="0" t="0"/>
                    <a:stretch>
                      <a:fillRect/>
                    </a:stretch>
                  </pic:blipFill>
                  <pic:spPr>
                    <a:xfrm>
                      <a:off x="0" y="0"/>
                      <a:ext cx="2311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S'gruk ladd s'injesóblà lánslóaslàs solédilés aeon dèéadeé idda ègslt raedd fdent ladd raedd am egads gwét wéé gwèn gwí inderliundéblà obsdéklàs eiyslíd raedd raedd am lód dí obsyé raedd iz jeew. Sdìwénts’ sleèdéslà lánslóafrà jìmlòdènjíes ren olu dek dèéadeé.</w:t>
      </w:r>
    </w:p>
    <w:p w:rsidR="00000000" w:rsidDel="00000000" w:rsidP="00000000" w:rsidRDefault="00000000" w:rsidRPr="00000000" w14:paraId="00000004">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5">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The book of the [invisible] languages sometimes a [treasure] is right in front of my [eyes] but there can be insurmountable obstacles placed in my [way] to [obtain] its view. Students’ heritage language competencies are one such treasure.</w:t>
      </w:r>
    </w:p>
    <w:p w:rsidR="00000000" w:rsidDel="00000000" w:rsidP="00000000" w:rsidRDefault="00000000" w:rsidRPr="00000000" w14:paraId="00000006">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br w:type="textWrapping"/>
        <w:t xml:space="preserve">Tslis gruk wèsyssòs s'imlókt ladd sleèdéslà lánfróaslàs fudd sdìwént dekslíss id sòlé slell sdèps yt eddery dèaslír gwèn déslí dí endeé yt sler sdìwénts délànts id agwìbadies ren éjìglúzed, frolùéd id enèslíd sem vaj ananut slòjíwúk sleèdéslà lòdefràems:</w:t>
      </w:r>
    </w:p>
    <w:p w:rsidR="00000000" w:rsidDel="00000000" w:rsidP="00000000" w:rsidRDefault="00000000" w:rsidRPr="00000000" w14:paraId="00000007">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w:t>
      </w:r>
    </w:p>
    <w:p w:rsidR="00000000" w:rsidDel="00000000" w:rsidP="00000000" w:rsidRDefault="00000000" w:rsidRPr="00000000" w14:paraId="00000008">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This book discusses the impact of heritage languages on student success and some small steps that every teacher can take to [ensure] that their students' talents and abilities are recognized, [promoted] and [enriched] with or without specific heritage programs:</w:t>
      </w:r>
    </w:p>
    <w:p w:rsidR="00000000" w:rsidDel="00000000" w:rsidP="00000000" w:rsidRDefault="00000000" w:rsidRPr="00000000" w14:paraId="00000009">
      <w:pPr>
        <w:shd w:fill="38160d" w:val="clear"/>
        <w:jc w:val="both"/>
        <w:rPr>
          <w:rFonts w:ascii="Trebuchet MS" w:cs="Trebuchet MS" w:eastAsia="Trebuchet MS" w:hAnsi="Trebuchet MS"/>
          <w:i w:val="1"/>
          <w:iCs w:val="1"/>
          <w:color w:val="fee6cf"/>
          <w:sz w:val="27"/>
          <w:szCs w:val="27"/>
        </w:rPr>
      </w:pPr>
      <w:r w:rsidDel="00000000" w:rsidR="00000000" w:rsidRPr="00000000">
        <w:rPr>
          <w:rtl w:val="0"/>
        </w:rPr>
      </w:r>
    </w:p>
    <w:p w:rsidR="00000000" w:rsidDel="00000000" w:rsidP="00000000" w:rsidRDefault="00000000" w:rsidRPr="00000000" w14:paraId="0000000A">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The common ground between the positions discussed in this paper lies in the possibility of enslavement, that is cultural annihilation, for in enslavement in its classical form the masters will make no effort to communicate with the slaves in the slaves’ languages; the linguistic onus rests on the slaves themselves. If slavery meant the breakup of communities, the probability of rapid skilled mastery of the conquerors’ language becomes greater on the grounds of sheer necessity for individuals to form human and economic relations of any sort;</w:t>
      </w:r>
    </w:p>
    <w:p w:rsidR="00000000" w:rsidDel="00000000" w:rsidP="00000000" w:rsidRDefault="00000000" w:rsidRPr="00000000" w14:paraId="0000000B">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C">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Iz idda jìmlin sjìlárat klùwlàdslà, id aeon essòndial elàlént raedd s'engbas lìdiolìl wùunydion sdíry, yt s'anglàs, saksons id owér lòoeiwés wèd lùt endèr aeon empty lándsgwèlò yn wéy slaulàd wéir sóps sud fudd bèdis gwíaslís raedd s'wúfd slíndìry sem s'indèndion, sha s'wúrst dilé, ladd lejíng aeon lié lásding imlókt yn aeon sóléiwé eid: </w:t>
      </w:r>
    </w:p>
    <w:p w:rsidR="00000000" w:rsidDel="00000000" w:rsidP="00000000" w:rsidRDefault="00000000" w:rsidRPr="00000000" w14:paraId="0000000D">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It is common scholarly knowledge, and an essential element in the english cultural foundation story, that the Angles, Saxons and other peoples did not enter an empty landscape when they sailed their ships up for British shores in the fifth century with the intention, for the first time, of making a more lasting impact than a single [eid]:</w:t>
      </w:r>
    </w:p>
    <w:p w:rsidR="00000000" w:rsidDel="00000000" w:rsidP="00000000" w:rsidRDefault="00000000" w:rsidRPr="00000000" w14:paraId="0000000F">
      <w:pPr>
        <w:shd w:fill="38160d" w:val="clear"/>
        <w:jc w:val="both"/>
        <w:rPr>
          <w:rFonts w:ascii="Trebuchet MS" w:cs="Trebuchet MS" w:eastAsia="Trebuchet MS" w:hAnsi="Trebuchet MS"/>
          <w:i w:val="1"/>
          <w:iCs w:val="1"/>
          <w:color w:val="fee6cf"/>
          <w:sz w:val="27"/>
          <w:szCs w:val="27"/>
        </w:rPr>
      </w:pPr>
      <w:r w:rsidDel="00000000" w:rsidR="00000000" w:rsidRPr="00000000">
        <w:rPr>
          <w:rtl w:val="0"/>
        </w:rPr>
      </w:r>
    </w:p>
    <w:p w:rsidR="00000000" w:rsidDel="00000000" w:rsidP="00000000" w:rsidRDefault="00000000" w:rsidRPr="00000000" w14:paraId="00000010">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But our explanation must also take into account that the Britons, in accepting English, seem to have left no imprint of their own on it, which gives us a major problem.</w:t>
      </w:r>
    </w:p>
    <w:p w:rsidR="00000000" w:rsidDel="00000000" w:rsidP="00000000" w:rsidRDefault="00000000" w:rsidRPr="00000000" w14:paraId="00000011">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2">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Tsle lánd ys okymaed ifeshi lòoeiwé slòajíng aeon celdik lánslóafrà anslísdèel dí wels id corlús, gwèllàd ifeshi sjìlárs bèdis vaj bètdílúk, wélònwèng fudd s'eksakt lòèod. Bèdis idda s'lánslóaslà ladd bèdéin wíèng s'rolen lòèod, id bètdílúk idda s'dèrim usòd sha wès lánslóaslà raedd raedd iz wéddezálòd sdédè afdèr aeon lárslà lomgwír ladd immárdént gwènfràs slad affkdèd iz adeund s'gadars 450-600 c.e.</w:t>
      </w:r>
    </w:p>
    <w:p w:rsidR="00000000" w:rsidDel="00000000" w:rsidP="00000000" w:rsidRDefault="00000000" w:rsidRPr="00000000" w14:paraId="00000013">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The land was occupied by people speaking a celtic language ancestral to Welsh and [Cornish], called by scholars British or Brythonic, depending on the exact period. British is the language of Britain during the Roman period, and Brythonic is the term used for this language in its developed state after a large number of important [changes] had affected it around the years 450-600 C.E.</w:t>
      </w:r>
    </w:p>
    <w:p w:rsidR="00000000" w:rsidDel="00000000" w:rsidP="00000000" w:rsidRDefault="00000000" w:rsidRPr="00000000" w14:paraId="00000015">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6">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Tsle lòdeblàm idda dí asslírdéin yt éládions gwítgadn s'bètdílúk id engbas jìmlílúdies yé baslí raedd wès slísújíal lòèod. Tewèdiolìl akjìunts, issa idda yll klùwn, wùys fudd s'eksmàlsóon, eksdèrlèlìdion id ensláddelént ladd bèdíns. Tslis idda sleld dí ekseiarn s'lerfríd lákk laedis bètdílúk eiyslí-lìlés derjejeng raedd lík ladd englánd, eslòjíalat raedd s'sòud id raedd s'east (yé aeon odderláy laedis sgwènwèlìjean jìléiwègwèdès s'indèrlòédédion ladd s'absònslí laedis bètdílúk lìlés), id sha s'lákk ladd bètdílúk làksigwèl gyrdeanngs indí engbas:</w:t>
      </w:r>
    </w:p>
    <w:p w:rsidR="00000000" w:rsidDel="00000000" w:rsidP="00000000" w:rsidRDefault="00000000" w:rsidRPr="00000000" w14:paraId="00000017">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w:t>
        <w:br w:type="textWrapping"/>
        <w:t xml:space="preserve">The problem is to ascertain what relations between the Brythonic and english communities were like in this [crucial] period. Traditional accounts, as is well known, focus on the [expulsion], [extermination] and [enslavement] of Britons. This is held to explain the near-total lack of Brythonic place-names surviving in much of england, especially in the south and in the east (where an overlay of Scandinavian complicates the interpretation of the absence of Brythonic names), and for the lack of Brythonic lexical borrowings into english:</w:t>
      </w:r>
    </w:p>
    <w:p w:rsidR="00000000" w:rsidDel="00000000" w:rsidP="00000000" w:rsidRDefault="00000000" w:rsidRPr="00000000" w14:paraId="00000018">
      <w:pPr>
        <w:shd w:fill="38160d" w:val="clear"/>
        <w:jc w:val="both"/>
        <w:rPr>
          <w:rFonts w:ascii="Trebuchet MS" w:cs="Trebuchet MS" w:eastAsia="Trebuchet MS" w:hAnsi="Trebuchet MS"/>
          <w:i w:val="1"/>
          <w:iCs w:val="1"/>
          <w:color w:val="fee6cf"/>
          <w:sz w:val="27"/>
          <w:szCs w:val="27"/>
        </w:rPr>
      </w:pPr>
      <w:r w:rsidDel="00000000" w:rsidR="00000000" w:rsidRPr="00000000">
        <w:rPr>
          <w:rtl w:val="0"/>
        </w:rPr>
      </w:r>
    </w:p>
    <w:p w:rsidR="00000000" w:rsidDel="00000000" w:rsidP="00000000" w:rsidRDefault="00000000" w:rsidRPr="00000000" w14:paraId="00000019">
      <w:pPr>
        <w:shd w:fill="38160d" w:val="clear"/>
        <w:jc w:val="both"/>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He uses the word</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b w:val="1"/>
          <w:bCs w:val="1"/>
          <w:color w:val="fee6cf"/>
          <w:sz w:val="27"/>
          <w:szCs w:val="27"/>
          <w:rtl w:val="0"/>
        </w:rPr>
        <w:t xml:space="preserve">exterminare</w:t>
      </w:r>
      <w:r w:rsidDel="00000000" w:rsidR="00000000" w:rsidRPr="00000000">
        <w:rPr>
          <w:rFonts w:ascii="Trebuchet MS" w:cs="Trebuchet MS" w:eastAsia="Trebuchet MS" w:hAnsi="Trebuchet MS"/>
          <w:i w:val="1"/>
          <w:iCs w:val="1"/>
          <w:color w:val="fee6cf"/>
          <w:sz w:val="27"/>
          <w:szCs w:val="27"/>
          <w:rtl w:val="0"/>
        </w:rPr>
        <w:t xml:space="preserve">, and what he meant depends on our view of his latinity. This word does not mean</w:t>
      </w:r>
      <w:r w:rsidDel="00000000" w:rsidR="00000000" w:rsidRPr="00000000">
        <w:rPr>
          <w:rFonts w:ascii="Trebuchet MS" w:cs="Trebuchet MS" w:eastAsia="Trebuchet MS" w:hAnsi="Trebuchet MS"/>
          <w:color w:val="fee6cf"/>
          <w:sz w:val="27"/>
          <w:szCs w:val="27"/>
          <w:rtl w:val="0"/>
        </w:rPr>
        <w:t xml:space="preserve"> to exterminate </w:t>
      </w:r>
      <w:r w:rsidDel="00000000" w:rsidR="00000000" w:rsidRPr="00000000">
        <w:rPr>
          <w:rFonts w:ascii="Trebuchet MS" w:cs="Trebuchet MS" w:eastAsia="Trebuchet MS" w:hAnsi="Trebuchet MS"/>
          <w:i w:val="1"/>
          <w:iCs w:val="1"/>
          <w:color w:val="fee6cf"/>
          <w:sz w:val="27"/>
          <w:szCs w:val="27"/>
          <w:rtl w:val="0"/>
        </w:rPr>
        <w:t xml:space="preserve">in the classical language, but ‘to drive off’, as the etymology, involving the word for ‘boundary’, would suggest. A conquered native might or might not be a slave.</w:t>
      </w:r>
    </w:p>
    <w:p w:rsidR="00000000" w:rsidDel="00000000" w:rsidP="00000000" w:rsidRDefault="00000000" w:rsidRPr="00000000" w14:paraId="0000001A">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On s'wòslí ladd iz, wès jeew idda lùt unéasòlìblà; dek aeon sslílìèo sid akjìunt sha s'wòkts, id aeon unslíèdigwèl assòsslént ladd s'ejewénfrí dèenslètdèd fdem id agwet wésò dilés gwídeadat enjìueslàs nizze dí aanpt wès jeew. Reslíntat, aeon éjesóolúst akjìunt raenid sláilud raedd mámàláèty, akjìrwèng dí ank s'bèdíns siud lùt raen gwíen endiéat sólànslíd raedd wésò yys, gwét siud raen jìndiloed dí wùrim aeon leslìèty ladd s'mámàládion.</w:t>
      </w:r>
    </w:p>
    <w:p w:rsidR="00000000" w:rsidDel="00000000" w:rsidP="00000000" w:rsidRDefault="00000000" w:rsidRPr="00000000" w14:paraId="0000001C">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On the face of it, this view is not [unreasonable]; such a scenario would account for the facts, and an uncritical assessment of the evidence transmitted from and about these times [broadly] encourages us to [adopt] this view. Recently, a revisionist account has gained in popularity, according to which the Britons would not have been entirely displaced in these ways, but would have continued to form a majority of the population.</w:t>
      </w:r>
    </w:p>
    <w:p w:rsidR="00000000" w:rsidDel="00000000" w:rsidP="00000000" w:rsidRDefault="00000000" w:rsidRPr="00000000" w14:paraId="0000001E">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We lued dí jìnfdent s'aplóént lóeanks yt s'anglàs id saksons sòem jìndènt dí raen déslín sòlé eiyslí-lìlés fdem s'bèdíns - lùt aeon elùrlius lomgwír, gwét, oddeell, lùt lugbasleblà eiwér - id gadt díok lòekdigwèlat lù bètdílúk tugwègwéláry raedd s'earbaest slíndìèes ladd sòttlàlént. Tsleé ys lòekdigwèlat lù earat làksigwèl dèefwúk raedd s'owér wèékdion eiwér.</w:t>
      </w:r>
    </w:p>
    <w:p w:rsidR="00000000" w:rsidDel="00000000" w:rsidP="00000000" w:rsidRDefault="00000000" w:rsidRPr="00000000" w14:paraId="00000020">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21">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We need to confront the apparent [paradox] that the Angles and Saxons seem content to have taken some place-names from the Britons - not an enormous number, but, [overall], not [negligible] either - and yet took practically no Brythonic vocabulary in the earliest centuries of settlement. There was practically no early lexical [traffic] in the other direction either.</w:t>
      </w:r>
    </w:p>
    <w:p w:rsidR="00000000" w:rsidDel="00000000" w:rsidP="00000000" w:rsidRDefault="00000000" w:rsidRPr="00000000" w14:paraId="00000022">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Pr>
        <w:drawing>
          <wp:inline distB="114300" distT="114300" distL="114300" distR="114300">
            <wp:extent cx="2286000" cy="254000"/>
            <wp:effectExtent b="0" l="0" r="0" t="0"/>
            <wp:docPr descr="sep1" id="2" name="image1.jpg"/>
            <a:graphic>
              <a:graphicData uri="http://schemas.openxmlformats.org/drawingml/2006/picture">
                <pic:pic>
                  <pic:nvPicPr>
                    <pic:cNvPr descr="sep1" id="0" name="image1.jpg"/>
                    <pic:cNvPicPr preferRelativeResize="0"/>
                  </pic:nvPicPr>
                  <pic:blipFill>
                    <a:blip r:embed="rId8"/>
                    <a:srcRect b="0" l="0" r="0" t="0"/>
                    <a:stretch>
                      <a:fillRect/>
                    </a:stretch>
                  </pic:blipFill>
                  <pic:spPr>
                    <a:xfrm>
                      <a:off x="0" y="0"/>
                      <a:ext cx="228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Breeze, Andrew. 1993b. ‘Celtic etymologies for Old English </w:t>
      </w:r>
      <w:r w:rsidDel="00000000" w:rsidR="00000000" w:rsidRPr="00000000">
        <w:rPr>
          <w:rFonts w:ascii="Trebuchet MS" w:cs="Trebuchet MS" w:eastAsia="Trebuchet MS" w:hAnsi="Trebuchet MS"/>
          <w:i w:val="1"/>
          <w:iCs w:val="1"/>
          <w:color w:val="fee6cf"/>
          <w:sz w:val="27"/>
          <w:szCs w:val="27"/>
          <w:rtl w:val="0"/>
        </w:rPr>
        <w:t xml:space="preserve">cursung</w:t>
      </w:r>
      <w:r w:rsidDel="00000000" w:rsidR="00000000" w:rsidRPr="00000000">
        <w:rPr>
          <w:rFonts w:ascii="Trebuchet MS" w:cs="Trebuchet MS" w:eastAsia="Trebuchet MS" w:hAnsi="Trebuchet MS"/>
          <w:color w:val="fee6cf"/>
          <w:sz w:val="27"/>
          <w:szCs w:val="27"/>
          <w:rtl w:val="0"/>
        </w:rPr>
        <w:t xml:space="preserve"> ‘curse’, </w:t>
      </w:r>
      <w:r w:rsidDel="00000000" w:rsidR="00000000" w:rsidRPr="00000000">
        <w:rPr>
          <w:rFonts w:ascii="Trebuchet MS" w:cs="Trebuchet MS" w:eastAsia="Trebuchet MS" w:hAnsi="Trebuchet MS"/>
          <w:i w:val="1"/>
          <w:iCs w:val="1"/>
          <w:color w:val="fee6cf"/>
          <w:sz w:val="27"/>
          <w:szCs w:val="27"/>
          <w:rtl w:val="0"/>
        </w:rPr>
        <w:t xml:space="preserve">gafeluc</w:t>
      </w:r>
      <w:r w:rsidDel="00000000" w:rsidR="00000000" w:rsidRPr="00000000">
        <w:rPr>
          <w:rFonts w:ascii="Trebuchet MS" w:cs="Trebuchet MS" w:eastAsia="Trebuchet MS" w:hAnsi="Trebuchet MS"/>
          <w:color w:val="fee6cf"/>
          <w:sz w:val="27"/>
          <w:szCs w:val="27"/>
          <w:rtl w:val="0"/>
        </w:rPr>
        <w:t xml:space="preserve"> ‘javelin’ [etc.].’ Notes and Queries 238, 287-97.</w:t>
      </w:r>
    </w:p>
    <w:p w:rsidR="00000000" w:rsidDel="00000000" w:rsidP="00000000" w:rsidRDefault="00000000" w:rsidRPr="00000000" w14:paraId="00000024">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5">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Clark, Cecily. 1992. ‘</w:t>
      </w:r>
      <w:r w:rsidDel="00000000" w:rsidR="00000000" w:rsidRPr="00000000">
        <w:rPr>
          <w:rFonts w:ascii="Trebuchet MS" w:cs="Trebuchet MS" w:eastAsia="Trebuchet MS" w:hAnsi="Trebuchet MS"/>
          <w:i w:val="1"/>
          <w:iCs w:val="1"/>
          <w:color w:val="fee6cf"/>
          <w:sz w:val="27"/>
          <w:szCs w:val="27"/>
          <w:rtl w:val="0"/>
        </w:rPr>
        <w:t xml:space="preserve">Onomastics</w:t>
      </w:r>
      <w:r w:rsidDel="00000000" w:rsidR="00000000" w:rsidRPr="00000000">
        <w:rPr>
          <w:rFonts w:ascii="Trebuchet MS" w:cs="Trebuchet MS" w:eastAsia="Trebuchet MS" w:hAnsi="Trebuchet MS"/>
          <w:color w:val="fee6cf"/>
          <w:sz w:val="27"/>
          <w:szCs w:val="27"/>
          <w:rtl w:val="0"/>
        </w:rPr>
        <w:t xml:space="preserve">.’ In Richard M. Hogg (ed.) The Cambridge history of the English language, vol. I: The beginnings to 1066. Cambridge: Cambridge University Press</w:t>
      </w:r>
    </w:p>
    <w:p w:rsidR="00000000" w:rsidDel="00000000" w:rsidP="00000000" w:rsidRDefault="00000000" w:rsidRPr="00000000" w14:paraId="00000026">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7">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Collingwood, R.G. and J.N.L. Myers. 1956. </w:t>
      </w:r>
      <w:r w:rsidDel="00000000" w:rsidR="00000000" w:rsidRPr="00000000">
        <w:rPr>
          <w:rFonts w:ascii="Trebuchet MS" w:cs="Trebuchet MS" w:eastAsia="Trebuchet MS" w:hAnsi="Trebuchet MS"/>
          <w:i w:val="1"/>
          <w:iCs w:val="1"/>
          <w:color w:val="fee6cf"/>
          <w:sz w:val="27"/>
          <w:szCs w:val="27"/>
          <w:rtl w:val="0"/>
        </w:rPr>
        <w:t xml:space="preserve">Roman Britain and the English settlements</w:t>
      </w:r>
      <w:r w:rsidDel="00000000" w:rsidR="00000000" w:rsidRPr="00000000">
        <w:rPr>
          <w:rFonts w:ascii="Trebuchet MS" w:cs="Trebuchet MS" w:eastAsia="Trebuchet MS" w:hAnsi="Trebuchet MS"/>
          <w:color w:val="fee6cf"/>
          <w:sz w:val="27"/>
          <w:szCs w:val="27"/>
          <w:rtl w:val="0"/>
        </w:rPr>
        <w:t xml:space="preserve"> (2nd edn). Oxford: Clarendon Press.</w:t>
      </w:r>
    </w:p>
    <w:p w:rsidR="00000000" w:rsidDel="00000000" w:rsidP="00000000" w:rsidRDefault="00000000" w:rsidRPr="00000000" w14:paraId="00000028">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9">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Dal, I. 1952. ‘</w:t>
      </w:r>
      <w:r w:rsidDel="00000000" w:rsidR="00000000" w:rsidRPr="00000000">
        <w:rPr>
          <w:rFonts w:ascii="Trebuchet MS" w:cs="Trebuchet MS" w:eastAsia="Trebuchet MS" w:hAnsi="Trebuchet MS"/>
          <w:i w:val="1"/>
          <w:iCs w:val="1"/>
          <w:color w:val="fee6cf"/>
          <w:sz w:val="27"/>
          <w:szCs w:val="27"/>
          <w:rtl w:val="0"/>
        </w:rPr>
        <w:t xml:space="preserve">Zur Entstehung des englischen participium praesentis auf -ing.</w:t>
      </w:r>
      <w:r w:rsidDel="00000000" w:rsidR="00000000" w:rsidRPr="00000000">
        <w:rPr>
          <w:rFonts w:ascii="Trebuchet MS" w:cs="Trebuchet MS" w:eastAsia="Trebuchet MS" w:hAnsi="Trebuchet MS"/>
          <w:color w:val="fee6cf"/>
          <w:sz w:val="27"/>
          <w:szCs w:val="27"/>
          <w:rtl w:val="0"/>
        </w:rPr>
        <w:t xml:space="preserve">’ Norsk Tidskrift for Sprogvidenskab 16,</w:t>
      </w:r>
    </w:p>
    <w:p w:rsidR="00000000" w:rsidDel="00000000" w:rsidP="00000000" w:rsidRDefault="00000000" w:rsidRPr="00000000" w14:paraId="0000002A">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B">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Filppula, Markku, Juhani Klemola and Heli Pitkänen (eds). 2002. </w:t>
      </w:r>
      <w:r w:rsidDel="00000000" w:rsidR="00000000" w:rsidRPr="00000000">
        <w:rPr>
          <w:rFonts w:ascii="Trebuchet MS" w:cs="Trebuchet MS" w:eastAsia="Trebuchet MS" w:hAnsi="Trebuchet MS"/>
          <w:i w:val="1"/>
          <w:iCs w:val="1"/>
          <w:color w:val="fee6cf"/>
          <w:sz w:val="27"/>
          <w:szCs w:val="27"/>
          <w:rtl w:val="0"/>
        </w:rPr>
        <w:t xml:space="preserve">The</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i w:val="1"/>
          <w:iCs w:val="1"/>
          <w:color w:val="fee6cf"/>
          <w:sz w:val="27"/>
          <w:szCs w:val="27"/>
          <w:rtl w:val="0"/>
        </w:rPr>
        <w:t xml:space="preserve">Celtic roots of English</w:t>
      </w:r>
      <w:r w:rsidDel="00000000" w:rsidR="00000000" w:rsidRPr="00000000">
        <w:rPr>
          <w:rFonts w:ascii="Trebuchet MS" w:cs="Trebuchet MS" w:eastAsia="Trebuchet MS" w:hAnsi="Trebuchet MS"/>
          <w:color w:val="fee6cf"/>
          <w:sz w:val="27"/>
          <w:szCs w:val="27"/>
          <w:rtl w:val="0"/>
        </w:rPr>
        <w:t xml:space="preserve">. Joensuu: University of Joensuu, Faculty of Humanities (Studies in Languages 37).</w:t>
      </w:r>
    </w:p>
    <w:p w:rsidR="00000000" w:rsidDel="00000000" w:rsidP="00000000" w:rsidRDefault="00000000" w:rsidRPr="00000000" w14:paraId="0000002C">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D">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Gelling, Margaret 1984. </w:t>
      </w:r>
      <w:r w:rsidDel="00000000" w:rsidR="00000000" w:rsidRPr="00000000">
        <w:rPr>
          <w:rFonts w:ascii="Trebuchet MS" w:cs="Trebuchet MS" w:eastAsia="Trebuchet MS" w:hAnsi="Trebuchet MS"/>
          <w:i w:val="1"/>
          <w:iCs w:val="1"/>
          <w:color w:val="fee6cf"/>
          <w:sz w:val="27"/>
          <w:szCs w:val="27"/>
          <w:rtl w:val="0"/>
        </w:rPr>
        <w:t xml:space="preserve">Place-names in the landscape</w:t>
      </w:r>
      <w:r w:rsidDel="00000000" w:rsidR="00000000" w:rsidRPr="00000000">
        <w:rPr>
          <w:rFonts w:ascii="Trebuchet MS" w:cs="Trebuchet MS" w:eastAsia="Trebuchet MS" w:hAnsi="Trebuchet MS"/>
          <w:color w:val="fee6cf"/>
          <w:sz w:val="27"/>
          <w:szCs w:val="27"/>
          <w:rtl w:val="0"/>
        </w:rPr>
        <w:t xml:space="preserve">. London: Dent.</w:t>
      </w:r>
    </w:p>
    <w:p w:rsidR="00000000" w:rsidDel="00000000" w:rsidP="00000000" w:rsidRDefault="00000000" w:rsidRPr="00000000" w14:paraId="0000002E">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F">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Harrisworth, Lewis 2005. ‘</w:t>
      </w:r>
      <w:r w:rsidDel="00000000" w:rsidR="00000000" w:rsidRPr="00000000">
        <w:rPr>
          <w:rFonts w:ascii="Trebuchet MS" w:cs="Trebuchet MS" w:eastAsia="Trebuchet MS" w:hAnsi="Trebuchet MS"/>
          <w:i w:val="1"/>
          <w:iCs w:val="1"/>
          <w:color w:val="fee6cf"/>
          <w:sz w:val="27"/>
          <w:szCs w:val="27"/>
          <w:rtl w:val="0"/>
        </w:rPr>
        <w:t xml:space="preserve">The Basque language testimony in antiquity</w:t>
      </w:r>
      <w:r w:rsidDel="00000000" w:rsidR="00000000" w:rsidRPr="00000000">
        <w:rPr>
          <w:rFonts w:ascii="Trebuchet MS" w:cs="Trebuchet MS" w:eastAsia="Trebuchet MS" w:hAnsi="Trebuchet MS"/>
          <w:color w:val="fee6cf"/>
          <w:sz w:val="27"/>
          <w:szCs w:val="27"/>
          <w:rtl w:val="0"/>
        </w:rPr>
        <w:t xml:space="preserve">.’ World Press. NC.</w:t>
      </w:r>
    </w:p>
    <w:p w:rsidR="00000000" w:rsidDel="00000000" w:rsidP="00000000" w:rsidRDefault="00000000" w:rsidRPr="00000000" w14:paraId="00000030">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31">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Klemola, Juhani. 2000. ‘</w:t>
      </w:r>
      <w:r w:rsidDel="00000000" w:rsidR="00000000" w:rsidRPr="00000000">
        <w:rPr>
          <w:rFonts w:ascii="Trebuchet MS" w:cs="Trebuchet MS" w:eastAsia="Trebuchet MS" w:hAnsi="Trebuchet MS"/>
          <w:i w:val="1"/>
          <w:iCs w:val="1"/>
          <w:color w:val="fee6cf"/>
          <w:sz w:val="27"/>
          <w:szCs w:val="27"/>
          <w:rtl w:val="0"/>
        </w:rPr>
        <w:t xml:space="preserve">The origins of the Northern Subject Rule: a case of early contact?</w:t>
      </w:r>
      <w:r w:rsidDel="00000000" w:rsidR="00000000" w:rsidRPr="00000000">
        <w:rPr>
          <w:rFonts w:ascii="Trebuchet MS" w:cs="Trebuchet MS" w:eastAsia="Trebuchet MS" w:hAnsi="Trebuchet MS"/>
          <w:color w:val="fee6cf"/>
          <w:sz w:val="27"/>
          <w:szCs w:val="27"/>
          <w:rtl w:val="0"/>
        </w:rPr>
        <w:t xml:space="preserve">’ In Tristram, Hildegard L.C. (ed.) The Celtic Englishes, vol. II. Heidelberg: Universitätsverlag Carl Winter.</w:t>
      </w:r>
    </w:p>
    <w:p w:rsidR="00000000" w:rsidDel="00000000" w:rsidP="00000000" w:rsidRDefault="00000000" w:rsidRPr="00000000" w14:paraId="00000032">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33">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Serjeantson, Mary S. 1935. </w:t>
      </w:r>
      <w:r w:rsidDel="00000000" w:rsidR="00000000" w:rsidRPr="00000000">
        <w:rPr>
          <w:rFonts w:ascii="Trebuchet MS" w:cs="Trebuchet MS" w:eastAsia="Trebuchet MS" w:hAnsi="Trebuchet MS"/>
          <w:i w:val="1"/>
          <w:iCs w:val="1"/>
          <w:color w:val="fee6cf"/>
          <w:sz w:val="27"/>
          <w:szCs w:val="27"/>
          <w:rtl w:val="0"/>
        </w:rPr>
        <w:t xml:space="preserve">A history of foreigh words in English.</w:t>
      </w:r>
      <w:r w:rsidDel="00000000" w:rsidR="00000000" w:rsidRPr="00000000">
        <w:rPr>
          <w:rFonts w:ascii="Trebuchet MS" w:cs="Trebuchet MS" w:eastAsia="Trebuchet MS" w:hAnsi="Trebuchet MS"/>
          <w:color w:val="fee6cf"/>
          <w:sz w:val="27"/>
          <w:szCs w:val="27"/>
          <w:rtl w:val="0"/>
        </w:rPr>
        <w:t xml:space="preserve"> London: Routledge and Kegan Paul.</w:t>
      </w:r>
    </w:p>
    <w:p w:rsidR="00000000" w:rsidDel="00000000" w:rsidP="00000000" w:rsidRDefault="00000000" w:rsidRPr="00000000" w14:paraId="00000034">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35">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Vennemann genannt Nierfeld. Theo. 2000 ‘</w:t>
      </w:r>
      <w:r w:rsidDel="00000000" w:rsidR="00000000" w:rsidRPr="00000000">
        <w:rPr>
          <w:rFonts w:ascii="Trebuchet MS" w:cs="Trebuchet MS" w:eastAsia="Trebuchet MS" w:hAnsi="Trebuchet MS"/>
          <w:i w:val="1"/>
          <w:iCs w:val="1"/>
          <w:color w:val="fee6cf"/>
          <w:sz w:val="27"/>
          <w:szCs w:val="27"/>
          <w:rtl w:val="0"/>
        </w:rPr>
        <w:t xml:space="preserve">English as a “Celtic” language: Atlantic influences from above and from below</w:t>
      </w:r>
      <w:r w:rsidDel="00000000" w:rsidR="00000000" w:rsidRPr="00000000">
        <w:rPr>
          <w:rFonts w:ascii="Trebuchet MS" w:cs="Trebuchet MS" w:eastAsia="Trebuchet MS" w:hAnsi="Trebuchet MS"/>
          <w:color w:val="fee6cf"/>
          <w:sz w:val="27"/>
          <w:szCs w:val="27"/>
          <w:rtl w:val="0"/>
        </w:rPr>
        <w:t xml:space="preserve">.’ In Hildegard L.C. Tristram (ed.) The Celtic Englishes, vol. II. Heidelberg: Carl Winter (Anglistische Forschungen 286), 399-406.</w:t>
      </w:r>
    </w:p>
    <w:p w:rsidR="00000000" w:rsidDel="00000000" w:rsidP="00000000" w:rsidRDefault="00000000" w:rsidRPr="00000000" w14:paraId="00000036">
      <w:pPr>
        <w:shd w:fill="38160d" w:val="clear"/>
        <w:jc w:val="both"/>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br w:type="textWrapping"/>
        <w:t xml:space="preserve">Vennemann genannt Nierfeld, Theo. 2002. ‘</w:t>
      </w:r>
      <w:r w:rsidDel="00000000" w:rsidR="00000000" w:rsidRPr="00000000">
        <w:rPr>
          <w:rFonts w:ascii="Trebuchet MS" w:cs="Trebuchet MS" w:eastAsia="Trebuchet MS" w:hAnsi="Trebuchet MS"/>
          <w:i w:val="1"/>
          <w:iCs w:val="1"/>
          <w:color w:val="fee6cf"/>
          <w:sz w:val="27"/>
          <w:szCs w:val="27"/>
          <w:rtl w:val="0"/>
        </w:rPr>
        <w:t xml:space="preserve">Semitic &gt; Celtic &gt; English: the transitivity of language contact.</w:t>
      </w:r>
      <w:r w:rsidDel="00000000" w:rsidR="00000000" w:rsidRPr="00000000">
        <w:rPr>
          <w:rFonts w:ascii="Trebuchet MS" w:cs="Trebuchet MS" w:eastAsia="Trebuchet MS" w:hAnsi="Trebuchet MS"/>
          <w:color w:val="fee6cf"/>
          <w:sz w:val="27"/>
          <w:szCs w:val="27"/>
          <w:rtl w:val="0"/>
        </w:rPr>
        <w:t xml:space="preserve">’ In Filppula et al. (eds), 295-330.</w:t>
      </w:r>
    </w:p>
    <w:p w:rsidR="00000000" w:rsidDel="00000000" w:rsidP="00000000" w:rsidRDefault="00000000" w:rsidRPr="00000000" w14:paraId="00000037">
      <w:pPr>
        <w:shd w:fill="38160d" w:val="clear"/>
        <w:spacing w:line="360" w:lineRule="auto"/>
        <w:jc w:val="right"/>
        <w:rPr>
          <w:rFonts w:ascii="Trebuchet MS" w:cs="Trebuchet MS" w:eastAsia="Trebuchet MS" w:hAnsi="Trebuchet MS"/>
          <w:color w:val="db956a"/>
          <w:sz w:val="27"/>
          <w:szCs w:val="27"/>
        </w:rPr>
      </w:pPr>
      <w:r w:rsidDel="00000000" w:rsidR="00000000" w:rsidRPr="00000000">
        <w:rPr>
          <w:rFonts w:ascii="Trebuchet MS" w:cs="Trebuchet MS" w:eastAsia="Trebuchet MS" w:hAnsi="Trebuchet MS"/>
          <w:color w:val="d19742"/>
          <w:sz w:val="27"/>
          <w:szCs w:val="27"/>
          <w:rtl w:val="0"/>
        </w:rPr>
        <w:t xml:space="preserve">by Ayndryl on </w:t>
      </w:r>
      <w:hyperlink r:id="rId9">
        <w:r w:rsidDel="00000000" w:rsidR="00000000" w:rsidRPr="00000000">
          <w:rPr>
            <w:rFonts w:ascii="Trebuchet MS" w:cs="Trebuchet MS" w:eastAsia="Trebuchet MS" w:hAnsi="Trebuchet MS"/>
            <w:color w:val="db956a"/>
            <w:sz w:val="27"/>
            <w:szCs w:val="27"/>
            <w:rtl w:val="0"/>
          </w:rPr>
          <w:t xml:space="preserve">Friday, September 03, 2010</w:t>
        </w:r>
      </w:hyperlink>
      <w:r w:rsidDel="00000000" w:rsidR="00000000" w:rsidRPr="00000000">
        <w:rPr>
          <w:rtl w:val="0"/>
        </w:rPr>
      </w:r>
    </w:p>
    <w:p w:rsidR="00000000" w:rsidDel="00000000" w:rsidP="00000000" w:rsidRDefault="00000000" w:rsidRPr="00000000" w14:paraId="00000038">
      <w:pPr>
        <w:shd w:fill="38160d" w:val="clear"/>
        <w:spacing w:line="360" w:lineRule="auto"/>
        <w:jc w:val="right"/>
        <w:rPr>
          <w:color w:val="ffffff"/>
          <w:sz w:val="30"/>
          <w:szCs w:val="30"/>
        </w:rPr>
      </w:pPr>
      <w:r w:rsidDel="00000000" w:rsidR="00000000" w:rsidRPr="00000000">
        <w:rPr>
          <w:rFonts w:ascii="Trebuchet MS" w:cs="Trebuchet MS" w:eastAsia="Trebuchet MS" w:hAnsi="Trebuchet MS"/>
          <w:color w:val="d19742"/>
          <w:sz w:val="27"/>
          <w:szCs w:val="27"/>
          <w:rtl w:val="0"/>
        </w:rPr>
        <w:t xml:space="preserve">Labels </w:t>
      </w:r>
      <w:hyperlink r:id="rId10">
        <w:r w:rsidDel="00000000" w:rsidR="00000000" w:rsidRPr="00000000">
          <w:rPr>
            <w:rFonts w:ascii="Trebuchet MS" w:cs="Trebuchet MS" w:eastAsia="Trebuchet MS" w:hAnsi="Trebuchet MS"/>
            <w:color w:val="db956a"/>
            <w:sz w:val="27"/>
            <w:szCs w:val="27"/>
            <w:rtl w:val="0"/>
          </w:rPr>
          <w:t xml:space="preserve">Ladd cryptolect </w:t>
        </w:r>
      </w:hyperlink>
      <w:r w:rsidDel="00000000" w:rsidR="00000000" w:rsidRPr="00000000">
        <w:rPr>
          <w:rFonts w:ascii="Trebuchet MS" w:cs="Trebuchet MS" w:eastAsia="Trebuchet MS" w:hAnsi="Trebuchet MS"/>
          <w:color w:val="d19742"/>
          <w:sz w:val="27"/>
          <w:szCs w:val="27"/>
          <w:rtl w:val="0"/>
        </w:rPr>
        <w:t xml:space="preserve">, </w:t>
      </w:r>
      <w:hyperlink r:id="rId11">
        <w:r w:rsidDel="00000000" w:rsidR="00000000" w:rsidRPr="00000000">
          <w:rPr>
            <w:rFonts w:ascii="Trebuchet MS" w:cs="Trebuchet MS" w:eastAsia="Trebuchet MS" w:hAnsi="Trebuchet MS"/>
            <w:color w:val="db956a"/>
            <w:sz w:val="27"/>
            <w:szCs w:val="27"/>
            <w:rtl w:val="0"/>
          </w:rPr>
          <w:t xml:space="preserve">Old English </w:t>
        </w:r>
      </w:hyperlink>
      <w:r w:rsidDel="00000000" w:rsidR="00000000" w:rsidRPr="00000000">
        <w:rPr>
          <w:rFonts w:ascii="Trebuchet MS" w:cs="Trebuchet MS" w:eastAsia="Trebuchet MS" w:hAnsi="Trebuchet MS"/>
          <w:color w:val="d19742"/>
          <w:sz w:val="27"/>
          <w:szCs w:val="27"/>
          <w:rtl w:val="0"/>
        </w:rPr>
        <w:t xml:space="preserve">, </w:t>
      </w:r>
      <w:hyperlink r:id="rId12">
        <w:r w:rsidDel="00000000" w:rsidR="00000000" w:rsidRPr="00000000">
          <w:rPr>
            <w:rFonts w:ascii="Trebuchet MS" w:cs="Trebuchet MS" w:eastAsia="Trebuchet MS" w:hAnsi="Trebuchet MS"/>
            <w:color w:val="db956a"/>
            <w:sz w:val="27"/>
            <w:szCs w:val="27"/>
            <w:rtl w:val="0"/>
          </w:rPr>
          <w:t xml:space="preserve">Old Welsh </w:t>
        </w:r>
      </w:hyperlink>
      <w:r w:rsidDel="00000000" w:rsidR="00000000" w:rsidRPr="00000000">
        <w:rPr>
          <w:rFonts w:ascii="Trebuchet MS" w:cs="Trebuchet MS" w:eastAsia="Trebuchet MS" w:hAnsi="Trebuchet MS"/>
          <w:color w:val="d19742"/>
          <w:sz w:val="27"/>
          <w:szCs w:val="27"/>
          <w:rtl w:val="0"/>
        </w:rPr>
        <w:t xml:space="preserve">, </w:t>
      </w:r>
      <w:hyperlink r:id="rId13">
        <w:r w:rsidDel="00000000" w:rsidR="00000000" w:rsidRPr="00000000">
          <w:rPr>
            <w:rFonts w:ascii="Trebuchet MS" w:cs="Trebuchet MS" w:eastAsia="Trebuchet MS" w:hAnsi="Trebuchet MS"/>
            <w:color w:val="db956a"/>
            <w:sz w:val="27"/>
            <w:szCs w:val="27"/>
            <w:rtl w:val="0"/>
          </w:rPr>
          <w:t xml:space="preserve">Weels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Old%20English" TargetMode="External"/><Relationship Id="rId10" Type="http://schemas.openxmlformats.org/officeDocument/2006/relationships/hyperlink" Target="https://forgottenlanguages-full.forgottenlanguages.org/search/label/Ladd%20cryptolect" TargetMode="External"/><Relationship Id="rId13" Type="http://schemas.openxmlformats.org/officeDocument/2006/relationships/hyperlink" Target="https://forgottenlanguages-full.forgottenlanguages.org/search/label/Weels" TargetMode="External"/><Relationship Id="rId12" Type="http://schemas.openxmlformats.org/officeDocument/2006/relationships/hyperlink" Target="https://forgottenlanguages-full.forgottenlanguages.org/search/label/Old%20Wel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2010/09/s-ladd-s-lansloaslas.html" TargetMode="External"/><Relationship Id="rId5" Type="http://schemas.openxmlformats.org/officeDocument/2006/relationships/styles" Target="styles.xml"/><Relationship Id="rId6" Type="http://schemas.openxmlformats.org/officeDocument/2006/relationships/hyperlink" Target="https://forgottenlanguages-full.forgottenlanguages.org/2010/09/s-ladd-s-lansloaslas.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