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mo8hs2xln7f6"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Slandgruks ladd jìnfssóon id lòlìnslí</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336800" cy="3048000"/>
            <wp:effectExtent b="0" l="0" r="0" t="0"/>
            <wp:docPr descr="penitentiae_cover" id="2" name="image1.jpg"/>
            <a:graphic>
              <a:graphicData uri="http://schemas.openxmlformats.org/drawingml/2006/picture">
                <pic:pic>
                  <pic:nvPicPr>
                    <pic:cNvPr descr="penitentiae_cover" id="0" name="image1.jpg"/>
                    <pic:cNvPicPr preferRelativeResize="0"/>
                  </pic:nvPicPr>
                  <pic:blipFill>
                    <a:blip r:embed="rId7"/>
                    <a:srcRect b="0" l="0" r="0" t="0"/>
                    <a:stretch>
                      <a:fillRect/>
                    </a:stretch>
                  </pic:blipFill>
                  <pic:spPr>
                    <a:xfrm>
                      <a:off x="0" y="0"/>
                      <a:ext cx="23368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Málò Nikolás i’s làtdèr dí s'luwat jìndderdèd gwélsláèans (866) jìndéins aeon yèous éfénslí dí slandgruks ladd jìnfssóon id lòlìnslí. Raedd wès làtdèr Nikolás lòdelèsòd s'gwélsláèans, aling owér wèngs, yt s'gwìsòps ed sònt wém siud gwíèng s'‘ládglént ladd lòlìnslí’ (</w:t>
      </w:r>
      <w:r w:rsidDel="00000000" w:rsidR="00000000" w:rsidRPr="00000000">
        <w:rPr>
          <w:rFonts w:ascii="Trebuchet MS" w:cs="Trebuchet MS" w:eastAsia="Trebuchet MS" w:hAnsi="Trebuchet MS"/>
          <w:b w:val="1"/>
          <w:bCs w:val="1"/>
          <w:i w:val="1"/>
          <w:iCs w:val="1"/>
          <w:color w:val="fee6cf"/>
          <w:sz w:val="23"/>
          <w:szCs w:val="23"/>
          <w:rtl w:val="0"/>
        </w:rPr>
        <w:t xml:space="preserve">iudicium poenitentiae</w:t>
      </w:r>
      <w:r w:rsidDel="00000000" w:rsidR="00000000" w:rsidRPr="00000000">
        <w:rPr>
          <w:rFonts w:ascii="Trebuchet MS" w:cs="Trebuchet MS" w:eastAsia="Trebuchet MS" w:hAnsi="Trebuchet MS"/>
          <w:color w:val="fee6cf"/>
          <w:sz w:val="23"/>
          <w:szCs w:val="23"/>
          <w:rtl w:val="0"/>
        </w:rPr>
        <w:t xml:space="preserve">) ank s'gwélsláèans slad asslíd wùr. Ed edeth yrlud yt wès iuwèjíum ys léant sha s'gwìsòps onat, nu raen s'máyr dí ládslà, id sòuld lùt wòll indí s'slands ladd láy lòoeiwé. Raz aeonid sógslt, wès éfénslí aplòars dí gwí s'earbaest éfénslí dí lòlúdèndials, basts ladd sóns id wéir jìrésmánwèng lòlìnslís dí gwí usòd ifeshi lòèests raz jìnfssóon, fdem s'ésleon wèsyssòd raedd wès gruk:</w:t>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Pope Nicholas I’s letter to the newly converted Bulgarians (866) contains a [righteous] reference to handbooks of confession and penance. In this letter Nicholas [provided] the Bulgarians, among other things, that the bishops he sent them should bring the ‘judgment of penance’ (iudicium poenitentiae) which the Bulgarians had asked for. He also argued that this iudicium was meant for the bishops only, who have the power to [judge], and should not fall into the hands of lay people. At first sight, this reference appears to be the earliest reference to penitentials, lists of sins and their corresponding penances to be used by priests at confession, from the region discussed in this book:</w:t>
      </w:r>
    </w:p>
    <w:p w:rsidR="00000000" w:rsidDel="00000000" w:rsidP="00000000" w:rsidRDefault="00000000" w:rsidRPr="00000000" w14:paraId="00000007">
      <w:pPr>
        <w:shd w:fill="38160d" w:val="clear"/>
        <w:jc w:val="both"/>
        <w:rPr>
          <w:rFonts w:ascii="Trebuchet MS" w:cs="Trebuchet MS" w:eastAsia="Trebuchet MS" w:hAnsi="Trebuchet MS"/>
          <w:b w:val="1"/>
          <w:bCs w:val="1"/>
          <w:color w:val="fee6cf"/>
          <w:sz w:val="23"/>
          <w:szCs w:val="23"/>
        </w:rPr>
      </w:pPr>
      <w:r w:rsidDel="00000000" w:rsidR="00000000" w:rsidRPr="00000000">
        <w:rPr>
          <w:rtl w:val="0"/>
        </w:rPr>
      </w:r>
    </w:p>
    <w:p w:rsidR="00000000" w:rsidDel="00000000" w:rsidP="00000000" w:rsidRDefault="00000000" w:rsidRPr="00000000" w14:paraId="00000008">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Si quis patrem aut matrem</w:t>
        <w:br w:type="textWrapping"/>
        <w:t xml:space="preserve">expulerit, impius uel sacrilegus</w:t>
        <w:br w:type="textWrapping"/>
        <w:t xml:space="preserve">iudicandus est, peniteat autem</w:t>
        <w:br w:type="textWrapping"/>
        <w:t xml:space="preserve">equali tempore, quamdiu in</w:t>
        <w:br w:type="textWrapping"/>
        <w:t xml:space="preserve">impietate extiterit.</w:t>
        <w:br w:type="textWrapping"/>
      </w:r>
      <w:r w:rsidDel="00000000" w:rsidR="00000000" w:rsidRPr="00000000">
        <w:rPr>
          <w:rFonts w:ascii="Trebuchet MS" w:cs="Trebuchet MS" w:eastAsia="Trebuchet MS" w:hAnsi="Trebuchet MS"/>
          <w:color w:val="fee6cf"/>
          <w:sz w:val="23"/>
          <w:szCs w:val="23"/>
          <w:rtl w:val="0"/>
        </w:rPr>
        <w:t xml:space="preserve">(</w:t>
      </w:r>
      <w:r w:rsidDel="00000000" w:rsidR="00000000" w:rsidRPr="00000000">
        <w:rPr>
          <w:rFonts w:ascii="Trebuchet MS" w:cs="Trebuchet MS" w:eastAsia="Trebuchet MS" w:hAnsi="Trebuchet MS"/>
          <w:i w:val="1"/>
          <w:iCs w:val="1"/>
          <w:color w:val="fee6cf"/>
          <w:sz w:val="23"/>
          <w:szCs w:val="23"/>
          <w:rtl w:val="0"/>
        </w:rPr>
        <w:t xml:space="preserve">Capitula Iudiciorum XIII,1; P. </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Parisiense simplex</w:t>
      </w:r>
      <w:r w:rsidDel="00000000" w:rsidR="00000000" w:rsidRPr="00000000">
        <w:rPr>
          <w:rFonts w:ascii="Trebuchet MS" w:cs="Trebuchet MS" w:eastAsia="Trebuchet MS" w:hAnsi="Trebuchet MS"/>
          <w:color w:val="fee6cf"/>
          <w:sz w:val="23"/>
          <w:szCs w:val="23"/>
          <w:rtl w:val="0"/>
        </w:rPr>
        <w:t xml:space="preserve">, c. 44)</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jc w:val="both"/>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Si quis patrem uel matrem</w:t>
        <w:br w:type="textWrapping"/>
        <w:t xml:space="preserve">expulit, impius uel sacrilegum</w:t>
        <w:br w:type="textWrapping"/>
        <w:t xml:space="preserve">iudicandus est, peniteat</w:t>
        <w:br w:type="textWrapping"/>
        <w:t xml:space="preserve">autem equali tempore, quandiu</w:t>
        <w:br w:type="textWrapping"/>
        <w:t xml:space="preserve">in impietate extiterit.</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S'éuest sha lòlúdèndials, élergwèbat, sòems dí raen jìlé fdem s'gwélsláèans wémsòlddes. Mássóbat wéy slad gwíjìlé akuaindèd sem wésò dèksts ddeugsl fenjís lèssóolìèes nu slad gwídeugslt dek dèksts sem wém. Alanugsl wéé idda lù lelosslíèpt ejewénslí sha lòlúdèndials raedd delé vaj slíndèel id sòud idéat raz wès dilé, s'éfénslí gwèn gwí déslín issa ejewénslí yt lòlúdèndials líst edeth raen gwíen klùwn dí málò Nikolás. Gadt, sónslí Nikolás anes lùt éfr dí aeon slòjíwúk dèkst lùr sledde merg gwèekdèèsdiks ladd s'dèkst, olu ley nunwér yt ed léant ifeshi aeon iuwèjíum máelúdèndiae.</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request for penitentials, remarkably, seems to have come from the Bulgarians themselves. Possibly they had become acquainted with these texts through Frankish missionaries who had brought such texts with them. Although there is no manuscript evidence for penitentials in [northern] or central and south Italy at this time, the reference can be taken as evidence that penitentials must also have been known to pope Nicholas. Yet, since Nicholas does not refer to a specific text nor give any characteristics of the text, one may wonder what he meant by a iudicium poenitentiae.</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Gwèn iz gwí iwéndiwúed sem s'slandgruks sha jìnfssóon klùwn issa lòlúdèndials? S'málò slòaks agwet aeon iuwèjíum onat raedd jìnlukdion sem gwìsòps id anes lùt léndion jìnfssóon:</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Can it be identified with the handbooks for confession known as penitentials? The pope speaks about a iudicium only in connection with bishops and does not mention confession:</w:t>
      </w:r>
    </w:p>
    <w:p w:rsidR="00000000" w:rsidDel="00000000" w:rsidP="00000000" w:rsidRDefault="00000000" w:rsidRPr="00000000" w14:paraId="00000013">
      <w:pPr>
        <w:shd w:fill="38160d" w:val="clear"/>
        <w:jc w:val="both"/>
        <w:rPr>
          <w:rFonts w:ascii="Trebuchet MS" w:cs="Trebuchet MS" w:eastAsia="Trebuchet MS" w:hAnsi="Trebuchet MS"/>
          <w:i w:val="1"/>
          <w:iCs w:val="1"/>
          <w:color w:val="fee6cf"/>
          <w:sz w:val="23"/>
          <w:szCs w:val="23"/>
        </w:rPr>
      </w:pPr>
      <w:r w:rsidDel="00000000" w:rsidR="00000000" w:rsidRPr="00000000">
        <w:rPr>
          <w:rtl w:val="0"/>
        </w:rPr>
      </w:r>
    </w:p>
    <w:p w:rsidR="00000000" w:rsidDel="00000000" w:rsidP="00000000" w:rsidRDefault="00000000" w:rsidRPr="00000000" w14:paraId="00000014">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compiler’s concern for the conflicting rulings of the penitentials was not new. Criticism about penitentials and their contradictions had already been voiced by church councils held under the Carolingians and in the eleventh century by authors of the Gregorian era, Peter Damian and cardinal Atto of St Mark. Yet this awareness did not prevent the compiler of the Coll.5libr. from using anonymous penitentials. Instead, this canonist noted the contradictions – mostly in the measure of penance prescribed – and subsequently redrafted the canons and their penances.</w:t>
      </w:r>
    </w:p>
    <w:p w:rsidR="00000000" w:rsidDel="00000000" w:rsidP="00000000" w:rsidRDefault="00000000" w:rsidRPr="00000000" w14:paraId="00000015">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16">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compiler’s concern for the conflicting rulings of the penitentials was not new. Criticism about penitentials and their contradictions had already been voiced by church councils held under the Carolingians and in the eleventh century by authors of the Gregorian era, Peter Damian and cardinal Atto of St Mark. Yet this awareness did not prevent the compiler of the Coll.5libr. from using anonymous penitentials. Instead, this canonist noted the contradictions – mostly in the measure of penance prescribed – and subsequently redrafted the canons and their penances.</w:t>
      </w:r>
    </w:p>
    <w:p w:rsidR="00000000" w:rsidDel="00000000" w:rsidP="00000000" w:rsidRDefault="00000000" w:rsidRPr="00000000" w14:paraId="00000017">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Pr>
        <w:drawing>
          <wp:inline distB="114300" distT="114300" distL="114300" distR="114300">
            <wp:extent cx="3124200" cy="4089400"/>
            <wp:effectExtent b="0" l="0" r="0" t="0"/>
            <wp:docPr descr="penitentiae_fig1" id="1" name="image3.jpg"/>
            <a:graphic>
              <a:graphicData uri="http://schemas.openxmlformats.org/drawingml/2006/picture">
                <pic:pic>
                  <pic:nvPicPr>
                    <pic:cNvPr descr="penitentiae_fig1" id="0" name="image3.jpg"/>
                    <pic:cNvPicPr preferRelativeResize="0"/>
                  </pic:nvPicPr>
                  <pic:blipFill>
                    <a:blip r:embed="rId8"/>
                    <a:srcRect b="0" l="0" r="0" t="0"/>
                    <a:stretch>
                      <a:fillRect/>
                    </a:stretch>
                  </pic:blipFill>
                  <pic:spPr>
                    <a:xfrm>
                      <a:off x="0" y="0"/>
                      <a:ext cx="3124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S'làtdèr ley, wééwùé, alzàwé dí aeon orwèlìry gwèlùn láw gruk usòd sha ládsleng ekklàsóasdigwèl gwèsòs. Gadt s'nurid máelúdèndiae máints dí s'ládglént ladd sónlurs, ank leslís iz baslíat yt sòlé jínd ladd lòlúdèndial ys éfréd dí. Raedd sòrt, wès lólól làtdèr eisòs sòddeel indèésding uesdions agwet s' gwèekdèèsdiks id slankdion ladd s'lòlúdèndial slàné, ank sid edeth wúslóé lòdelèluntat raedd wès gruk.</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letter may, therefore, refer to an ordinary canon law book used for settling ecclesiastical cases. Yet the word poenitentiae points to the judgment of sinners, which makes it likely that some kind of penitential was referred to. In short, this [papal] letter [raises] several interesting questions about the characteristics and function of the penitential genre, which will also figure prominently in this book.</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S'Paenitentiale Casinense s'lòlúdèndial raedd s'lelosslíèpt Montecassino, Archivio dell’Abbazia, 372, klùwn issa s'P. Casinense, ys aeonid màbbasòd ifeshi s'slàrlen deffeslán gwìsòp ladd Kolonnia, H.J. Schmitz, raedd 1883. Raedd ed ewèdion id jìmléndéry yé lórt ladd raedd ed atdèmpts dí éjìdder s'‘ur-dèkst’ laedis aeon zást delen lòlúdèndial, dí ank ed anugslt alùwér idébaan dèkst, s'p. Vallicellianum I, gwèlé kzásòst. Fudd s'gansós ladd sólèláèdies sem s'p. Vallicellianum I, Schmitz ékjìlud yt s'p. Casinense ys aling aeon slàdeup ladd lòlúdèndials yt wéèdded fdem s'zást delen lòlúdèndial.</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Paenitentiale Casinense the penitential in the manuscript Montecassino, Archivio dell’Abbazia, 372, known as the P. Casinense, was once published by the German bishop of Cologne, H.J. Schmitz, in 1883. Its edition and commentary were part of his attempts to reconstruct the ‘Ur-text’ of a lost Roman penitential, to which he thought another Italian text, the P. Vallicellianum I, came closest. On the basis of similarities with the P. Vallicellianum I, Schmitz argued that the P. Casinense was among a group of penitentials that derived from the lost Roman penitential.</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Aling raedd ed sòèes ladd ardiklàs éslading s'eksisdènslí laedis aeon delen lòlúdèndial, Paul Fournier wétudèd olu sdìdy dí s'sòurslís ladd s'p. Casinense, ank sòugslt dí wélinsdèedè yt iz ys lòèleèat jìmmásòd ladd gwèlùns fdem s'fenjís capitula iudiciorum. Sleéafdèr, sjìlárs raen slardat lóid merg atdèndion dí s'dèkst ladd s'p. Casinense vaj s' jìndènts ladd s'lelosslíèpt raedd ank iz ys jìmaed:</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Among his series of articles positing the existence of a Roman penitential, Paul Fournier dedicated one study to the sources of the P. Casinense, which sought to demonstrate that it was relatively composed of canons from the Frankish capitula iudiciorum. Thereafter, scholars have hardly paid much attention to the text of the P. Casinense or the contents of the manuscript in which it is contained:</w:t>
      </w:r>
    </w:p>
    <w:p w:rsidR="00000000" w:rsidDel="00000000" w:rsidP="00000000" w:rsidRDefault="00000000" w:rsidRPr="00000000" w14:paraId="00000021">
      <w:pPr>
        <w:shd w:fill="38160d" w:val="clear"/>
        <w:jc w:val="both"/>
        <w:rPr>
          <w:rFonts w:ascii="Trebuchet MS" w:cs="Trebuchet MS" w:eastAsia="Trebuchet MS" w:hAnsi="Trebuchet MS"/>
          <w:i w:val="1"/>
          <w:iCs w:val="1"/>
          <w:color w:val="fee6cf"/>
          <w:sz w:val="23"/>
          <w:szCs w:val="23"/>
        </w:rPr>
      </w:pPr>
      <w:r w:rsidDel="00000000" w:rsidR="00000000" w:rsidRPr="00000000">
        <w:rPr>
          <w:rtl w:val="0"/>
        </w:rPr>
      </w:r>
    </w:p>
    <w:p w:rsidR="00000000" w:rsidDel="00000000" w:rsidP="00000000" w:rsidRDefault="00000000" w:rsidRPr="00000000" w14:paraId="00000022">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ambivalence can be explained by the objectives of most reform collections, which were in the first place ecclesiological rather than pastoral. They focused on correcting abuses such as simony or nicolaitism, for which one could find sufficient canonical precedent in conciliar and papal decrees. The emphasis on authoritive law may have also partially accounted for the declining interest in penitentials. Few penitential canons eventually entered Gratian’s Decretum, with whom the age of classical canon law begins.</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Gadt s'p. Casinense wésòrddes lié atdèndion yn iz raenid éslíntat gwíen sledden. Iz idda olu ladd s'fw lòlúdèndials raedd ank gwèlùns, badìrslegwèl wèékdions, id jìmlídédions ren wùrslàd indí aeon sónglà, jìsleént dèkst:</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Yet the P. Casinense deserves more attention than it has recently been given. It is one of the few penitentials in which canons, liturgical directions, and [computations] are [forged] into a single, coherent text:</w:t>
      </w:r>
    </w:p>
    <w:p w:rsidR="00000000" w:rsidDel="00000000" w:rsidP="00000000" w:rsidRDefault="00000000" w:rsidRPr="00000000" w14:paraId="0000002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DUNFELIUE BIRESDUNADTI.</w:t>
      </w:r>
    </w:p>
    <w:p w:rsidR="00000000" w:rsidDel="00000000" w:rsidP="00000000" w:rsidRDefault="00000000" w:rsidRPr="00000000" w14:paraId="0000002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Usthofuxilar tin[ius]ikular kem</w:t>
        <w:br w:type="textWrapping"/>
        <w:t xml:space="preserve">dunfeliue biresdunadti:</w:t>
      </w:r>
    </w:p>
    <w:p w:rsidR="00000000" w:rsidDel="00000000" w:rsidP="00000000" w:rsidRDefault="00000000" w:rsidRPr="00000000" w14:paraId="0000002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Kikumkeu tupend madibuism</w:t>
        <w:br w:type="textWrapping"/>
        <w:t xml:space="preserve">tuum. tiu maditrikem iesbu</w:t>
        <w:br w:type="textWrapping"/>
        <w:t xml:space="preserve">epimue iktum endexendit, mradiue</w:t>
        <w:br w:type="textWrapping"/>
        <w:t xml:space="preserve">niuiass ultiue uum kem futusu</w:t>
        <w:br w:type="textWrapping"/>
        <w:t xml:space="preserve">bendkutiet, ti num kimendibis huik</w:t>
        <w:br w:type="textWrapping"/>
        <w:t xml:space="preserve">tikulue eipbi brakakitur, belas kebisu</w:t>
        <w:br w:type="textWrapping"/>
        <w:t xml:space="preserve">ut impiular iudiketur. Tunk</w:t>
        <w:br w:type="textWrapping"/>
        <w:t xml:space="preserve">kamum bendainit ef eiuislar</w:t>
        <w:br w:type="textWrapping"/>
        <w:t xml:space="preserve">tinddikadti dunfelium hok</w:t>
        <w:br w:type="textWrapping"/>
        <w:t xml:space="preserve">dunfirmauit emizakeu efdidit:</w:t>
      </w:r>
    </w:p>
    <w:p w:rsidR="00000000" w:rsidDel="00000000" w:rsidP="00000000" w:rsidRDefault="00000000" w:rsidRPr="00000000" w14:paraId="0000002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Timilibis ut nlor tepfemular belas</w:t>
        <w:br w:type="textWrapping"/>
        <w:t xml:space="preserve">taksu fumbi dumpatism</w:t>
        <w:br w:type="textWrapping"/>
        <w:t xml:space="preserve">filiumkeu batism belas tepkbu</w:t>
        <w:br w:type="textWrapping"/>
        <w:t xml:space="preserve">fiuaksu eitkeu tiruum... ti num</w:t>
        <w:br w:type="textWrapping"/>
        <w:t xml:space="preserve">bendkutitur, .i. epnum badibiat. Ti</w:t>
        <w:br w:type="textWrapping"/>
        <w:t xml:space="preserve">aisu bendkutitur…</w:t>
      </w:r>
    </w:p>
    <w:p w:rsidR="00000000" w:rsidDel="00000000" w:rsidP="00000000" w:rsidRDefault="00000000" w:rsidRPr="00000000" w14:paraId="0000002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Ti kilar batri eiut matri tuaeu</w:t>
        <w:br w:type="textWrapping"/>
        <w:t xml:space="preserve">kemiuriam fekendit eiut uxpulendit, ti</w:t>
        <w:br w:type="textWrapping"/>
        <w:t xml:space="preserve">num kimendiular kum tatisfaktiumeu</w:t>
        <w:br w:type="textWrapping"/>
        <w:t xml:space="preserve">uilar nimneu umaddaairit, krei</w:t>
        <w:br w:type="textWrapping"/>
        <w:t xml:space="preserve">impiular iudiketur, ut badibiat</w:t>
        <w:br w:type="textWrapping"/>
        <w:t xml:space="preserve">ukemi bimlais uxtibirit.</w:t>
      </w:r>
    </w:p>
    <w:p w:rsidR="00000000" w:rsidDel="00000000" w:rsidP="00000000" w:rsidRDefault="00000000" w:rsidRPr="00000000" w14:paraId="0000002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Ti kilar tupend batism tuum aig</w:t>
        <w:br w:type="textWrapping"/>
        <w:t xml:space="preserve">matism kem ieskundiam mepum</w:t>
        <w:br w:type="textWrapping"/>
        <w:t xml:space="preserve">endexendit, ti bemad num</w:t>
        <w:br w:type="textWrapping"/>
        <w:t xml:space="preserve">bendkustirit. Belas hok .b. epnlor</w:t>
        <w:br w:type="textWrapping"/>
        <w:t xml:space="preserve">krei bindifedai badibiat. Ti eiubim</w:t>
        <w:br w:type="textWrapping"/>
        <w:t xml:space="preserve">bendkustirit, .bii. epnlor tikut</w:t>
        <w:br w:type="textWrapping"/>
        <w:t xml:space="preserve">impiular aig takrilemular iudikepdular</w:t>
        <w:br w:type="textWrapping"/>
        <w:t xml:space="preserve">kart. Ut ti num fetiular umaddaairit,</w:t>
        <w:br w:type="textWrapping"/>
        <w:t xml:space="preserve">uxbirminetus eik ukklkariai tikut</w:t>
        <w:br w:type="textWrapping"/>
        <w:t xml:space="preserve">iunius. (…)</w:t>
      </w:r>
    </w:p>
    <w:p w:rsidR="00000000" w:rsidDel="00000000" w:rsidP="00000000" w:rsidRDefault="00000000" w:rsidRPr="00000000" w14:paraId="00000031">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Ti kilar batism eiut matism kem</w:t>
        <w:br w:type="textWrapping"/>
        <w:t xml:space="preserve">airkue uxhumusaairit .iii. epnlor</w:t>
        <w:br w:type="textWrapping"/>
        <w:t xml:space="preserve">badibiat. Ti kilar batri aig matri</w:t>
        <w:br w:type="textWrapping"/>
        <w:t xml:space="preserve">bend ieskundiam mepum endexendit,</w:t>
        <w:br w:type="textWrapping"/>
        <w:t xml:space="preserve">tikut impiular ut takrilemular</w:t>
        <w:br w:type="textWrapping"/>
        <w:t xml:space="preserve">iudikepdular endit ut .x. epnza…</w:t>
      </w:r>
    </w:p>
    <w:p w:rsidR="00000000" w:rsidDel="00000000" w:rsidP="00000000" w:rsidRDefault="00000000" w:rsidRPr="00000000" w14:paraId="0000003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Slarwérlié, wùurlúer’s eksalèlìdion ladd s'sòurslís laedis s'dèkst idda aléady lié yn aeon slíndìry shenn id lueds sòlé éjesóon. Wès gwèpdèr, wééwùé, lùt onat offyrs aeon luw alìatsós ladd wès dèkst, raedd iz sòurslís, id raedd iz badìrslegwèl wèékdions, gwét edeth aeon wésslíèpdion ladd s'lelosslíèpt raedd orwér dí éddeal lié agwet s'sdèsúkdìé id s'indènwéd màrmásò ladd s'jìwéks:</w:t>
      </w:r>
    </w:p>
    <w:p w:rsidR="00000000" w:rsidDel="00000000" w:rsidP="00000000" w:rsidRDefault="00000000" w:rsidRPr="00000000" w14:paraId="00000035">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36">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Furthermore, Fournier’s examination of the sources of the text is already more than a century old and needs some revision. This chapter, therefore, not only offers a new analysis of this text, its sources, and its liturgical directions, but also a description of the manuscript in order to reveal more about the structure and the intended purpose of the codex:</w:t>
      </w:r>
    </w:p>
    <w:p w:rsidR="00000000" w:rsidDel="00000000" w:rsidP="00000000" w:rsidRDefault="00000000" w:rsidRPr="00000000" w14:paraId="00000037">
      <w:pPr>
        <w:shd w:fill="38160d" w:val="clear"/>
        <w:jc w:val="both"/>
        <w:rPr>
          <w:rFonts w:ascii="Trebuchet MS" w:cs="Trebuchet MS" w:eastAsia="Trebuchet MS" w:hAnsi="Trebuchet MS"/>
          <w:i w:val="1"/>
          <w:iCs w:val="1"/>
          <w:color w:val="fee6cf"/>
          <w:sz w:val="23"/>
          <w:szCs w:val="23"/>
        </w:rPr>
      </w:pPr>
      <w:r w:rsidDel="00000000" w:rsidR="00000000" w:rsidRPr="00000000">
        <w:rPr>
          <w:rtl w:val="0"/>
        </w:rPr>
      </w:r>
    </w:p>
    <w:p w:rsidR="00000000" w:rsidDel="00000000" w:rsidP="00000000" w:rsidRDefault="00000000" w:rsidRPr="00000000" w14:paraId="00000038">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This analysis of penitential manuscripts started from the assumption that the size of some of these liturgical books would make them likelier candidates for use in penitential liturgy than the bulky juridical manuscripts of the Coll.5libr. However, legal collections also survive in pocket-sized manuscripts, which is the case for ms. Montecassino, Arch. dell’Abbazia, 554 (South Italy; s.X/XI).</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Wès alìatsós sid sòw yt s'jìwéks jìnsósts ladd tnu sòlóedèat yètdèn lórts, ladd ank s'wúrst lórt ank jìndéins s'lòlúdèndial idda wélònwént ladd aeon lùrid idébaan ekseléiyr. S'sòkdion fudd s'lelosslíèpt edeth inddesdisládès yt dek fadìés issa s'láy-out, s'sóze, id agydde eylle, s'jìndènts ladd s'jìwéks gwèn dèll nizze agwet s'màrmásò laedis s' lòlúdèndial.</w:t>
      </w:r>
    </w:p>
    <w:p w:rsidR="00000000" w:rsidDel="00000000" w:rsidP="00000000" w:rsidRDefault="00000000" w:rsidRPr="00000000" w14:paraId="0000003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analysis will show that the codex consists of two separately written parts, of which the first part which contains the penitential is [reminiscent, demandent] of a north Italian exemplar. The section on the manuscript also investigates what such features as the lay-out, the size, and above all, the contents of the codex can tell us about the purpose of the penitential.</w:t>
      </w:r>
    </w:p>
    <w:p w:rsidR="00000000" w:rsidDel="00000000" w:rsidP="00000000" w:rsidRDefault="00000000" w:rsidRPr="00000000" w14:paraId="0000003D">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E">
      <w:pPr>
        <w:shd w:fill="38160d" w:val="clear"/>
        <w:rPr>
          <w:rFonts w:ascii="Trebuchet MS" w:cs="Trebuchet MS" w:eastAsia="Trebuchet MS" w:hAnsi="Trebuchet MS"/>
          <w:b w:val="1"/>
          <w:bCs w:val="1"/>
          <w:color w:val="fee6cf"/>
          <w:sz w:val="20"/>
          <w:szCs w:val="20"/>
        </w:rPr>
      </w:pPr>
      <w:r w:rsidDel="00000000" w:rsidR="00000000" w:rsidRPr="00000000">
        <w:rPr>
          <w:rFonts w:ascii="Trebuchet MS" w:cs="Trebuchet MS" w:eastAsia="Trebuchet MS" w:hAnsi="Trebuchet MS"/>
          <w:b w:val="1"/>
          <w:bCs w:val="1"/>
          <w:i w:val="1"/>
          <w:iCs w:val="1"/>
          <w:color w:val="fee6cf"/>
          <w:sz w:val="20"/>
          <w:szCs w:val="20"/>
          <w:rtl w:val="0"/>
        </w:rPr>
        <w:t xml:space="preserve">Between liturgy and canon law: a study of books of confession and penance in XI and XII century Italy</w:t>
        <w:br w:type="textWrapping"/>
      </w:r>
      <w:r w:rsidDel="00000000" w:rsidR="00000000" w:rsidRPr="00000000">
        <w:rPr>
          <w:rFonts w:ascii="Trebuchet MS" w:cs="Trebuchet MS" w:eastAsia="Trebuchet MS" w:hAnsi="Trebuchet MS"/>
          <w:b w:val="1"/>
          <w:bCs w:val="1"/>
          <w:color w:val="fee6cf"/>
          <w:sz w:val="20"/>
          <w:szCs w:val="20"/>
          <w:rtl w:val="0"/>
        </w:rPr>
        <w:t xml:space="preserve">Adriaan Harmen Gaastra</w:t>
      </w:r>
    </w:p>
    <w:p w:rsidR="00000000" w:rsidDel="00000000" w:rsidP="00000000" w:rsidRDefault="00000000" w:rsidRPr="00000000" w14:paraId="0000003F">
      <w:pPr>
        <w:shd w:fill="38160d" w:val="clear"/>
        <w:rPr>
          <w:rFonts w:ascii="Trebuchet MS" w:cs="Trebuchet MS" w:eastAsia="Trebuchet MS" w:hAnsi="Trebuchet MS"/>
          <w:b w:val="1"/>
          <w:bCs w:val="1"/>
          <w:color w:val="fee6cf"/>
          <w:sz w:val="20"/>
          <w:szCs w:val="20"/>
        </w:rPr>
      </w:pPr>
      <w:r w:rsidDel="00000000" w:rsidR="00000000" w:rsidRPr="00000000">
        <w:rPr>
          <w:rFonts w:ascii="Trebuchet MS" w:cs="Trebuchet MS" w:eastAsia="Trebuchet MS" w:hAnsi="Trebuchet MS"/>
          <w:b w:val="1"/>
          <w:bCs w:val="1"/>
          <w:color w:val="fee6cf"/>
          <w:sz w:val="20"/>
          <w:szCs w:val="20"/>
          <w:rtl w:val="0"/>
        </w:rPr>
        <w:t xml:space="preserve">Universiteit Utrecht - 2007</w:t>
      </w:r>
    </w:p>
    <w:p w:rsidR="00000000" w:rsidDel="00000000" w:rsidP="00000000" w:rsidRDefault="00000000" w:rsidRPr="00000000" w14:paraId="00000040">
      <w:pPr>
        <w:shd w:fill="38160d" w:val="clear"/>
        <w:rPr>
          <w:rFonts w:ascii="Trebuchet MS" w:cs="Trebuchet MS" w:eastAsia="Trebuchet MS" w:hAnsi="Trebuchet MS"/>
          <w:b w:val="1"/>
          <w:bCs w:val="1"/>
          <w:color w:val="fee6cf"/>
          <w:sz w:val="20"/>
          <w:szCs w:val="20"/>
        </w:rPr>
      </w:pPr>
      <w:r w:rsidDel="00000000" w:rsidR="00000000" w:rsidRPr="00000000">
        <w:rPr>
          <w:rFonts w:ascii="Trebuchet MS" w:cs="Trebuchet MS" w:eastAsia="Trebuchet MS" w:hAnsi="Trebuchet MS"/>
          <w:b w:val="1"/>
          <w:bCs w:val="1"/>
          <w:color w:val="fee6cf"/>
          <w:sz w:val="20"/>
          <w:szCs w:val="20"/>
        </w:rPr>
        <w:drawing>
          <wp:inline distB="114300" distT="114300" distL="114300" distR="114300">
            <wp:extent cx="2286000" cy="254000"/>
            <wp:effectExtent b="0" l="0" r="0" t="0"/>
            <wp:docPr descr="sep3" id="3" name="image2.jpg"/>
            <a:graphic>
              <a:graphicData uri="http://schemas.openxmlformats.org/drawingml/2006/picture">
                <pic:pic>
                  <pic:nvPicPr>
                    <pic:cNvPr descr="sep3" id="0" name="image2.jpg"/>
                    <pic:cNvPicPr preferRelativeResize="0"/>
                  </pic:nvPicPr>
                  <pic:blipFill>
                    <a:blip r:embed="rId9"/>
                    <a:srcRect b="0" l="0" r="0" t="0"/>
                    <a:stretch>
                      <a:fillRect/>
                    </a:stretch>
                  </pic:blipFill>
                  <pic:spPr>
                    <a:xfrm>
                      <a:off x="0" y="0"/>
                      <a:ext cx="2286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 Bischoff, ‘</w:t>
      </w:r>
      <w:r w:rsidDel="00000000" w:rsidR="00000000" w:rsidRPr="00000000">
        <w:rPr>
          <w:rFonts w:ascii="Trebuchet MS" w:cs="Trebuchet MS" w:eastAsia="Trebuchet MS" w:hAnsi="Trebuchet MS"/>
          <w:i w:val="1"/>
          <w:iCs w:val="1"/>
          <w:color w:val="fee6cf"/>
          <w:sz w:val="23"/>
          <w:szCs w:val="23"/>
          <w:rtl w:val="0"/>
        </w:rPr>
        <w:t xml:space="preserve">Eine karolingische ‘Vita pastoralis’: ‘Sedulius, Carmen alpha</w:t>
      </w:r>
      <w:r w:rsidDel="00000000" w:rsidR="00000000" w:rsidRPr="00000000">
        <w:rPr>
          <w:rFonts w:ascii="Trebuchet MS" w:cs="Trebuchet MS" w:eastAsia="Trebuchet MS" w:hAnsi="Trebuchet MS"/>
          <w:color w:val="fee6cf"/>
          <w:sz w:val="23"/>
          <w:szCs w:val="23"/>
          <w:rtl w:val="0"/>
        </w:rPr>
        <w:t xml:space="preserve">’’, Deutsches Archiv 37 (1981) pp. 559-575.</w:t>
      </w:r>
    </w:p>
    <w:p w:rsidR="00000000" w:rsidDel="00000000" w:rsidP="00000000" w:rsidRDefault="00000000" w:rsidRPr="00000000" w14:paraId="0000004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U.-R. Blumenthal, </w:t>
      </w:r>
      <w:r w:rsidDel="00000000" w:rsidR="00000000" w:rsidRPr="00000000">
        <w:rPr>
          <w:rFonts w:ascii="Trebuchet MS" w:cs="Trebuchet MS" w:eastAsia="Trebuchet MS" w:hAnsi="Trebuchet MS"/>
          <w:i w:val="1"/>
          <w:iCs w:val="1"/>
          <w:color w:val="fee6cf"/>
          <w:sz w:val="23"/>
          <w:szCs w:val="23"/>
          <w:rtl w:val="0"/>
        </w:rPr>
        <w:t xml:space="preserve">The early councils of Pope Paschal II, 1100-1110</w:t>
      </w:r>
      <w:r w:rsidDel="00000000" w:rsidR="00000000" w:rsidRPr="00000000">
        <w:rPr>
          <w:rFonts w:ascii="Trebuchet MS" w:cs="Trebuchet MS" w:eastAsia="Trebuchet MS" w:hAnsi="Trebuchet MS"/>
          <w:color w:val="fee6cf"/>
          <w:sz w:val="23"/>
          <w:szCs w:val="23"/>
          <w:rtl w:val="0"/>
        </w:rPr>
        <w:t xml:space="preserve">. Pontifical Institute of Mediaeval Studies, Studies and Texts 43 (Toronto 1978).</w:t>
      </w:r>
    </w:p>
    <w:p w:rsidR="00000000" w:rsidDel="00000000" w:rsidP="00000000" w:rsidRDefault="00000000" w:rsidRPr="00000000" w14:paraId="0000004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J.A. Brundage, </w:t>
      </w:r>
      <w:r w:rsidDel="00000000" w:rsidR="00000000" w:rsidRPr="00000000">
        <w:rPr>
          <w:rFonts w:ascii="Trebuchet MS" w:cs="Trebuchet MS" w:eastAsia="Trebuchet MS" w:hAnsi="Trebuchet MS"/>
          <w:i w:val="1"/>
          <w:iCs w:val="1"/>
          <w:color w:val="fee6cf"/>
          <w:sz w:val="23"/>
          <w:szCs w:val="23"/>
          <w:rtl w:val="0"/>
        </w:rPr>
        <w:t xml:space="preserve">Law, sex, and Christian society in medieval Europe</w:t>
      </w:r>
      <w:r w:rsidDel="00000000" w:rsidR="00000000" w:rsidRPr="00000000">
        <w:rPr>
          <w:rFonts w:ascii="Trebuchet MS" w:cs="Trebuchet MS" w:eastAsia="Trebuchet MS" w:hAnsi="Trebuchet MS"/>
          <w:color w:val="fee6cf"/>
          <w:sz w:val="23"/>
          <w:szCs w:val="23"/>
          <w:rtl w:val="0"/>
        </w:rPr>
        <w:t xml:space="preserve"> (Chicago and London 1987).</w:t>
      </w:r>
    </w:p>
    <w:p w:rsidR="00000000" w:rsidDel="00000000" w:rsidP="00000000" w:rsidRDefault="00000000" w:rsidRPr="00000000" w14:paraId="0000004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 Cavallo, ‘</w:t>
      </w:r>
      <w:r w:rsidDel="00000000" w:rsidR="00000000" w:rsidRPr="00000000">
        <w:rPr>
          <w:rFonts w:ascii="Trebuchet MS" w:cs="Trebuchet MS" w:eastAsia="Trebuchet MS" w:hAnsi="Trebuchet MS"/>
          <w:i w:val="1"/>
          <w:iCs w:val="1"/>
          <w:color w:val="fee6cf"/>
          <w:sz w:val="23"/>
          <w:szCs w:val="23"/>
          <w:rtl w:val="0"/>
        </w:rPr>
        <w:t xml:space="preserve">La trasmissione dei testi nell’area beneventano-cassinese’</w:t>
      </w:r>
      <w:r w:rsidDel="00000000" w:rsidR="00000000" w:rsidRPr="00000000">
        <w:rPr>
          <w:rFonts w:ascii="Trebuchet MS" w:cs="Trebuchet MS" w:eastAsia="Trebuchet MS" w:hAnsi="Trebuchet MS"/>
          <w:color w:val="fee6cf"/>
          <w:sz w:val="23"/>
          <w:szCs w:val="23"/>
          <w:rtl w:val="0"/>
        </w:rPr>
        <w:t xml:space="preserve"> in La cultura antica nell’Occidente latino, dal VII all’XI secolo. Settimane di studio del Centro Italiano di studi Medioevo 22 (Spoleto 1975).</w:t>
      </w:r>
    </w:p>
    <w:p w:rsidR="00000000" w:rsidDel="00000000" w:rsidP="00000000" w:rsidRDefault="00000000" w:rsidRPr="00000000" w14:paraId="0000004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 Constable, ‘</w:t>
      </w:r>
      <w:r w:rsidDel="00000000" w:rsidR="00000000" w:rsidRPr="00000000">
        <w:rPr>
          <w:rFonts w:ascii="Trebuchet MS" w:cs="Trebuchet MS" w:eastAsia="Trebuchet MS" w:hAnsi="Trebuchet MS"/>
          <w:i w:val="1"/>
          <w:iCs w:val="1"/>
          <w:color w:val="fee6cf"/>
          <w:sz w:val="23"/>
          <w:szCs w:val="23"/>
          <w:rtl w:val="0"/>
        </w:rPr>
        <w:t xml:space="preserve">Monastic rural churches and the Cura Animarum in the early Middle Ages’</w:t>
      </w:r>
      <w:r w:rsidDel="00000000" w:rsidR="00000000" w:rsidRPr="00000000">
        <w:rPr>
          <w:rFonts w:ascii="Trebuchet MS" w:cs="Trebuchet MS" w:eastAsia="Trebuchet MS" w:hAnsi="Trebuchet MS"/>
          <w:color w:val="fee6cf"/>
          <w:sz w:val="23"/>
          <w:szCs w:val="23"/>
          <w:rtl w:val="0"/>
        </w:rPr>
        <w:t xml:space="preserve"> in Cristianizzazione ed organizzazione ecclesiastica delle campagne nell’alto medioevo: Espansione e resistenze. Settimane di Studio 28 (Spoleto 1982) pp. 349-389.</w:t>
      </w:r>
    </w:p>
    <w:p w:rsidR="00000000" w:rsidDel="00000000" w:rsidP="00000000" w:rsidRDefault="00000000" w:rsidRPr="00000000" w14:paraId="0000004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K.M. Delen, A.H. Gaastra, M.D. Saan, and B. Schaap, ‘</w:t>
      </w:r>
      <w:r w:rsidDel="00000000" w:rsidR="00000000" w:rsidRPr="00000000">
        <w:rPr>
          <w:rFonts w:ascii="Trebuchet MS" w:cs="Trebuchet MS" w:eastAsia="Trebuchet MS" w:hAnsi="Trebuchet MS"/>
          <w:i w:val="1"/>
          <w:iCs w:val="1"/>
          <w:color w:val="fee6cf"/>
          <w:sz w:val="23"/>
          <w:szCs w:val="23"/>
          <w:rtl w:val="0"/>
        </w:rPr>
        <w:t xml:space="preserve">The Paenitentiale Cantabrigiense. A witness of the Carolingian contribution to the tenth-century reforms in England’</w:t>
      </w:r>
      <w:r w:rsidDel="00000000" w:rsidR="00000000" w:rsidRPr="00000000">
        <w:rPr>
          <w:rFonts w:ascii="Trebuchet MS" w:cs="Trebuchet MS" w:eastAsia="Trebuchet MS" w:hAnsi="Trebuchet MS"/>
          <w:color w:val="fee6cf"/>
          <w:sz w:val="23"/>
          <w:szCs w:val="23"/>
          <w:rtl w:val="0"/>
        </w:rPr>
        <w:t xml:space="preserve">, Sacris Erudiri. A journal on the inheritance of Early and Medieval Christianity 41 (2002) pp. 341-373.</w:t>
      </w:r>
    </w:p>
    <w:p w:rsidR="00000000" w:rsidDel="00000000" w:rsidP="00000000" w:rsidRDefault="00000000" w:rsidRPr="00000000" w14:paraId="0000004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Dold, ‘</w:t>
      </w:r>
      <w:r w:rsidDel="00000000" w:rsidR="00000000" w:rsidRPr="00000000">
        <w:rPr>
          <w:rFonts w:ascii="Trebuchet MS" w:cs="Trebuchet MS" w:eastAsia="Trebuchet MS" w:hAnsi="Trebuchet MS"/>
          <w:i w:val="1"/>
          <w:iCs w:val="1"/>
          <w:color w:val="fee6cf"/>
          <w:sz w:val="23"/>
          <w:szCs w:val="23"/>
          <w:rtl w:val="0"/>
        </w:rPr>
        <w:t xml:space="preserve">Eine alte Bußliturgie aus Codex Vaticanus latinus 1339’</w:t>
      </w:r>
      <w:r w:rsidDel="00000000" w:rsidR="00000000" w:rsidRPr="00000000">
        <w:rPr>
          <w:rFonts w:ascii="Trebuchet MS" w:cs="Trebuchet MS" w:eastAsia="Trebuchet MS" w:hAnsi="Trebuchet MS"/>
          <w:color w:val="fee6cf"/>
          <w:sz w:val="23"/>
          <w:szCs w:val="23"/>
          <w:rtl w:val="0"/>
        </w:rPr>
        <w:t xml:space="preserve">, Jahrbuch für Liturgiewissenschaften 11 (1931)</w:t>
      </w:r>
    </w:p>
    <w:p w:rsidR="00000000" w:rsidDel="00000000" w:rsidP="00000000" w:rsidRDefault="00000000" w:rsidRPr="00000000" w14:paraId="0000004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P.J. Fedwick, </w:t>
      </w:r>
      <w:r w:rsidDel="00000000" w:rsidR="00000000" w:rsidRPr="00000000">
        <w:rPr>
          <w:rFonts w:ascii="Trebuchet MS" w:cs="Trebuchet MS" w:eastAsia="Trebuchet MS" w:hAnsi="Trebuchet MS"/>
          <w:i w:val="1"/>
          <w:iCs w:val="1"/>
          <w:color w:val="fee6cf"/>
          <w:sz w:val="23"/>
          <w:szCs w:val="23"/>
          <w:rtl w:val="0"/>
        </w:rPr>
        <w:t xml:space="preserve">‘The translations of the works of Basil before 1400’</w:t>
      </w:r>
      <w:r w:rsidDel="00000000" w:rsidR="00000000" w:rsidRPr="00000000">
        <w:rPr>
          <w:rFonts w:ascii="Trebuchet MS" w:cs="Trebuchet MS" w:eastAsia="Trebuchet MS" w:hAnsi="Trebuchet MS"/>
          <w:color w:val="fee6cf"/>
          <w:sz w:val="23"/>
          <w:szCs w:val="23"/>
          <w:rtl w:val="0"/>
        </w:rPr>
        <w:t xml:space="preserve">, in P.J. Fedwick ed., Basil of Caesarea: Christian, Humanist, Ascetic. A Sixteen-Hundredth Anniversary Symposium (Toronto 1981)</w:t>
      </w:r>
    </w:p>
    <w:p w:rsidR="00000000" w:rsidDel="00000000" w:rsidP="00000000" w:rsidRDefault="00000000" w:rsidRPr="00000000" w14:paraId="0000004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 Fornasari, </w:t>
      </w:r>
      <w:r w:rsidDel="00000000" w:rsidR="00000000" w:rsidRPr="00000000">
        <w:rPr>
          <w:rFonts w:ascii="Trebuchet MS" w:cs="Trebuchet MS" w:eastAsia="Trebuchet MS" w:hAnsi="Trebuchet MS"/>
          <w:i w:val="1"/>
          <w:iCs w:val="1"/>
          <w:color w:val="fee6cf"/>
          <w:sz w:val="23"/>
          <w:szCs w:val="23"/>
          <w:rtl w:val="0"/>
        </w:rPr>
        <w:t xml:space="preserve">‘Enrico II e Benedetto VII e i canoni del presunto concilio di Ravenna del 1014’</w:t>
      </w:r>
      <w:r w:rsidDel="00000000" w:rsidR="00000000" w:rsidRPr="00000000">
        <w:rPr>
          <w:rFonts w:ascii="Trebuchet MS" w:cs="Trebuchet MS" w:eastAsia="Trebuchet MS" w:hAnsi="Trebuchet MS"/>
          <w:color w:val="fee6cf"/>
          <w:sz w:val="23"/>
          <w:szCs w:val="23"/>
          <w:rtl w:val="0"/>
        </w:rPr>
        <w:t xml:space="preserve">, Rivista di storia della chiesa in Italia 18 (1964)</w:t>
      </w:r>
    </w:p>
    <w:p w:rsidR="00000000" w:rsidDel="00000000" w:rsidP="00000000" w:rsidRDefault="00000000" w:rsidRPr="00000000" w14:paraId="0000004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 Gaardard, Other Churches: </w:t>
      </w:r>
      <w:r w:rsidDel="00000000" w:rsidR="00000000" w:rsidRPr="00000000">
        <w:rPr>
          <w:rFonts w:ascii="Trebuchet MS" w:cs="Trebuchet MS" w:eastAsia="Trebuchet MS" w:hAnsi="Trebuchet MS"/>
          <w:i w:val="1"/>
          <w:iCs w:val="1"/>
          <w:color w:val="fee6cf"/>
          <w:sz w:val="23"/>
          <w:szCs w:val="23"/>
          <w:rtl w:val="0"/>
        </w:rPr>
        <w:t xml:space="preserve">Secret Churches within Monastic Rural Churches</w:t>
      </w:r>
      <w:r w:rsidDel="00000000" w:rsidR="00000000" w:rsidRPr="00000000">
        <w:rPr>
          <w:rFonts w:ascii="Trebuchet MS" w:cs="Trebuchet MS" w:eastAsia="Trebuchet MS" w:hAnsi="Trebuchet MS"/>
          <w:color w:val="fee6cf"/>
          <w:sz w:val="23"/>
          <w:szCs w:val="23"/>
          <w:rtl w:val="0"/>
        </w:rPr>
        <w:t xml:space="preserve">, Iskänyar Press, 2010.</w:t>
      </w:r>
    </w:p>
    <w:p w:rsidR="00000000" w:rsidDel="00000000" w:rsidP="00000000" w:rsidRDefault="00000000" w:rsidRPr="00000000" w14:paraId="0000004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N.M. Haring, </w:t>
      </w:r>
      <w:r w:rsidDel="00000000" w:rsidR="00000000" w:rsidRPr="00000000">
        <w:rPr>
          <w:rFonts w:ascii="Trebuchet MS" w:cs="Trebuchet MS" w:eastAsia="Trebuchet MS" w:hAnsi="Trebuchet MS"/>
          <w:i w:val="1"/>
          <w:iCs w:val="1"/>
          <w:color w:val="fee6cf"/>
          <w:sz w:val="23"/>
          <w:szCs w:val="23"/>
          <w:rtl w:val="0"/>
        </w:rPr>
        <w:t xml:space="preserve">‘The Augustinian axiom “Nulli sacramento injuria facienda est”’</w:t>
      </w:r>
      <w:r w:rsidDel="00000000" w:rsidR="00000000" w:rsidRPr="00000000">
        <w:rPr>
          <w:rFonts w:ascii="Trebuchet MS" w:cs="Trebuchet MS" w:eastAsia="Trebuchet MS" w:hAnsi="Trebuchet MS"/>
          <w:color w:val="fee6cf"/>
          <w:sz w:val="23"/>
          <w:szCs w:val="23"/>
          <w:rtl w:val="0"/>
        </w:rPr>
        <w:t xml:space="preserve">, Mediaeval Studies 16 (1954)</w:t>
      </w:r>
    </w:p>
    <w:p w:rsidR="00000000" w:rsidDel="00000000" w:rsidP="00000000" w:rsidRDefault="00000000" w:rsidRPr="00000000" w14:paraId="0000004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 Kölzer, </w:t>
      </w:r>
      <w:r w:rsidDel="00000000" w:rsidR="00000000" w:rsidRPr="00000000">
        <w:rPr>
          <w:rFonts w:ascii="Trebuchet MS" w:cs="Trebuchet MS" w:eastAsia="Trebuchet MS" w:hAnsi="Trebuchet MS"/>
          <w:i w:val="1"/>
          <w:iCs w:val="1"/>
          <w:color w:val="fee6cf"/>
          <w:sz w:val="23"/>
          <w:szCs w:val="23"/>
          <w:rtl w:val="0"/>
        </w:rPr>
        <w:t xml:space="preserve">Collectio canonum regesta Farfensi inserta. Monumenta Iuris Canonici</w:t>
      </w:r>
      <w:r w:rsidDel="00000000" w:rsidR="00000000" w:rsidRPr="00000000">
        <w:rPr>
          <w:rFonts w:ascii="Trebuchet MS" w:cs="Trebuchet MS" w:eastAsia="Trebuchet MS" w:hAnsi="Trebuchet MS"/>
          <w:color w:val="fee6cf"/>
          <w:sz w:val="23"/>
          <w:szCs w:val="23"/>
          <w:rtl w:val="0"/>
        </w:rPr>
        <w:t xml:space="preserve">, series B, 5 (Vatican City 1982).</w:t>
      </w:r>
    </w:p>
    <w:p w:rsidR="00000000" w:rsidDel="00000000" w:rsidP="00000000" w:rsidRDefault="00000000" w:rsidRPr="00000000" w14:paraId="0000004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 Legendre (with A. Schütz, M. Smith, and Y. Thomas), Leçons VI, suite: Le dossier occidental de la parenté. Textes juridiques indésiderables sur la généalogie (Paris 1988).</w:t>
      </w:r>
    </w:p>
    <w:p w:rsidR="00000000" w:rsidDel="00000000" w:rsidP="00000000" w:rsidRDefault="00000000" w:rsidRPr="00000000" w14:paraId="0000004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 Mordek,</w:t>
      </w:r>
      <w:r w:rsidDel="00000000" w:rsidR="00000000" w:rsidRPr="00000000">
        <w:rPr>
          <w:rFonts w:ascii="Trebuchet MS" w:cs="Trebuchet MS" w:eastAsia="Trebuchet MS" w:hAnsi="Trebuchet MS"/>
          <w:i w:val="1"/>
          <w:iCs w:val="1"/>
          <w:color w:val="fee6cf"/>
          <w:sz w:val="23"/>
          <w:szCs w:val="23"/>
          <w:rtl w:val="0"/>
        </w:rPr>
        <w:t xml:space="preserve"> Kirchenrecht und Reform im Frankenreich. Die Collectio Vetus Gallica, die älteste systematische Kanonessammlung des fränkischen Gallien</w:t>
      </w:r>
      <w:r w:rsidDel="00000000" w:rsidR="00000000" w:rsidRPr="00000000">
        <w:rPr>
          <w:rFonts w:ascii="Trebuchet MS" w:cs="Trebuchet MS" w:eastAsia="Trebuchet MS" w:hAnsi="Trebuchet MS"/>
          <w:color w:val="fee6cf"/>
          <w:sz w:val="23"/>
          <w:szCs w:val="23"/>
          <w:rtl w:val="0"/>
        </w:rPr>
        <w:t xml:space="preserve">. Studien und Edition. Beiträge zur Geschichte und Quellenkunde des Mittelalters 1 (Berlin, New York 1975).</w:t>
      </w:r>
    </w:p>
    <w:p w:rsidR="00000000" w:rsidDel="00000000" w:rsidP="00000000" w:rsidRDefault="00000000" w:rsidRPr="00000000" w14:paraId="0000004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P.J. Payer, </w:t>
      </w:r>
      <w:r w:rsidDel="00000000" w:rsidR="00000000" w:rsidRPr="00000000">
        <w:rPr>
          <w:rFonts w:ascii="Trebuchet MS" w:cs="Trebuchet MS" w:eastAsia="Trebuchet MS" w:hAnsi="Trebuchet MS"/>
          <w:i w:val="1"/>
          <w:iCs w:val="1"/>
          <w:color w:val="fee6cf"/>
          <w:sz w:val="23"/>
          <w:szCs w:val="23"/>
          <w:rtl w:val="0"/>
        </w:rPr>
        <w:t xml:space="preserve">Sex and the penitentials. The development of a sexual code</w:t>
      </w:r>
      <w:r w:rsidDel="00000000" w:rsidR="00000000" w:rsidRPr="00000000">
        <w:rPr>
          <w:rFonts w:ascii="Trebuchet MS" w:cs="Trebuchet MS" w:eastAsia="Trebuchet MS" w:hAnsi="Trebuchet MS"/>
          <w:color w:val="fee6cf"/>
          <w:sz w:val="23"/>
          <w:szCs w:val="23"/>
          <w:rtl w:val="0"/>
        </w:rPr>
        <w:t xml:space="preserve">, 550-1150 (Toronto 1984).</w:t>
      </w:r>
    </w:p>
    <w:p w:rsidR="00000000" w:rsidDel="00000000" w:rsidP="00000000" w:rsidRDefault="00000000" w:rsidRPr="00000000" w14:paraId="0000005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I.S. Robinson, </w:t>
      </w:r>
      <w:r w:rsidDel="00000000" w:rsidR="00000000" w:rsidRPr="00000000">
        <w:rPr>
          <w:rFonts w:ascii="Trebuchet MS" w:cs="Trebuchet MS" w:eastAsia="Trebuchet MS" w:hAnsi="Trebuchet MS"/>
          <w:i w:val="1"/>
          <w:iCs w:val="1"/>
          <w:color w:val="fee6cf"/>
          <w:sz w:val="23"/>
          <w:szCs w:val="23"/>
          <w:rtl w:val="0"/>
        </w:rPr>
        <w:t xml:space="preserve">Authority and resistance in the Investiture Contest. The polemical literature of the late eleventh century</w:t>
      </w:r>
      <w:r w:rsidDel="00000000" w:rsidR="00000000" w:rsidRPr="00000000">
        <w:rPr>
          <w:rFonts w:ascii="Trebuchet MS" w:cs="Trebuchet MS" w:eastAsia="Trebuchet MS" w:hAnsi="Trebuchet MS"/>
          <w:color w:val="fee6cf"/>
          <w:sz w:val="23"/>
          <w:szCs w:val="23"/>
          <w:rtl w:val="0"/>
        </w:rPr>
        <w:t xml:space="preserve"> (Manchester 1978).</w:t>
      </w:r>
    </w:p>
    <w:p w:rsidR="00000000" w:rsidDel="00000000" w:rsidP="00000000" w:rsidRDefault="00000000" w:rsidRPr="00000000" w14:paraId="0000005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P.R. Robinson, </w:t>
      </w:r>
      <w:r w:rsidDel="00000000" w:rsidR="00000000" w:rsidRPr="00000000">
        <w:rPr>
          <w:rFonts w:ascii="Trebuchet MS" w:cs="Trebuchet MS" w:eastAsia="Trebuchet MS" w:hAnsi="Trebuchet MS"/>
          <w:i w:val="1"/>
          <w:iCs w:val="1"/>
          <w:color w:val="fee6cf"/>
          <w:sz w:val="23"/>
          <w:szCs w:val="23"/>
          <w:rtl w:val="0"/>
        </w:rPr>
        <w:t xml:space="preserve">‘The “booklet”. A self-contained unit in composite manuscripts’</w:t>
      </w:r>
      <w:r w:rsidDel="00000000" w:rsidR="00000000" w:rsidRPr="00000000">
        <w:rPr>
          <w:rFonts w:ascii="Trebuchet MS" w:cs="Trebuchet MS" w:eastAsia="Trebuchet MS" w:hAnsi="Trebuchet MS"/>
          <w:color w:val="fee6cf"/>
          <w:sz w:val="23"/>
          <w:szCs w:val="23"/>
          <w:rtl w:val="0"/>
        </w:rPr>
        <w:t xml:space="preserve">, Codicologica 3 (1980) pp. 46-69.</w:t>
      </w:r>
    </w:p>
    <w:p w:rsidR="00000000" w:rsidDel="00000000" w:rsidP="00000000" w:rsidRDefault="00000000" w:rsidRPr="00000000" w14:paraId="0000005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 Toubert, </w:t>
      </w:r>
      <w:r w:rsidDel="00000000" w:rsidR="00000000" w:rsidRPr="00000000">
        <w:rPr>
          <w:rFonts w:ascii="Trebuchet MS" w:cs="Trebuchet MS" w:eastAsia="Trebuchet MS" w:hAnsi="Trebuchet MS"/>
          <w:i w:val="1"/>
          <w:iCs w:val="1"/>
          <w:color w:val="fee6cf"/>
          <w:sz w:val="23"/>
          <w:szCs w:val="23"/>
          <w:rtl w:val="0"/>
        </w:rPr>
        <w:t xml:space="preserve">Les structures du Latium médiéval. Le Latium méridional et la Sabine du IXe siècle à la fin du XIIe siècle</w:t>
      </w:r>
      <w:r w:rsidDel="00000000" w:rsidR="00000000" w:rsidRPr="00000000">
        <w:rPr>
          <w:rFonts w:ascii="Trebuchet MS" w:cs="Trebuchet MS" w:eastAsia="Trebuchet MS" w:hAnsi="Trebuchet MS"/>
          <w:color w:val="fee6cf"/>
          <w:sz w:val="23"/>
          <w:szCs w:val="23"/>
          <w:rtl w:val="0"/>
        </w:rPr>
        <w:t xml:space="preserve"> 2 vols. Bibliothèque des Ecoles Francaises d’Athènes et de Rome 221 (Rome 1973).</w:t>
      </w:r>
    </w:p>
    <w:p w:rsidR="00000000" w:rsidDel="00000000" w:rsidP="00000000" w:rsidRDefault="00000000" w:rsidRPr="00000000" w14:paraId="0000005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 Vodola, </w:t>
      </w:r>
      <w:r w:rsidDel="00000000" w:rsidR="00000000" w:rsidRPr="00000000">
        <w:rPr>
          <w:rFonts w:ascii="Trebuchet MS" w:cs="Trebuchet MS" w:eastAsia="Trebuchet MS" w:hAnsi="Trebuchet MS"/>
          <w:i w:val="1"/>
          <w:iCs w:val="1"/>
          <w:color w:val="fee6cf"/>
          <w:sz w:val="23"/>
          <w:szCs w:val="23"/>
          <w:rtl w:val="0"/>
        </w:rPr>
        <w:t xml:space="preserve">Excommunication in the Middle Ages</w:t>
      </w:r>
      <w:r w:rsidDel="00000000" w:rsidR="00000000" w:rsidRPr="00000000">
        <w:rPr>
          <w:rFonts w:ascii="Trebuchet MS" w:cs="Trebuchet MS" w:eastAsia="Trebuchet MS" w:hAnsi="Trebuchet MS"/>
          <w:color w:val="fee6cf"/>
          <w:sz w:val="23"/>
          <w:szCs w:val="23"/>
          <w:rtl w:val="0"/>
        </w:rPr>
        <w:t xml:space="preserve"> (Berkeley 1986).</w:t>
      </w:r>
    </w:p>
    <w:p w:rsidR="00000000" w:rsidDel="00000000" w:rsidP="00000000" w:rsidRDefault="00000000" w:rsidRPr="00000000" w14:paraId="0000005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 Zimmermann, </w:t>
      </w:r>
      <w:r w:rsidDel="00000000" w:rsidR="00000000" w:rsidRPr="00000000">
        <w:rPr>
          <w:rFonts w:ascii="Trebuchet MS" w:cs="Trebuchet MS" w:eastAsia="Trebuchet MS" w:hAnsi="Trebuchet MS"/>
          <w:i w:val="1"/>
          <w:iCs w:val="1"/>
          <w:color w:val="fee6cf"/>
          <w:sz w:val="23"/>
          <w:szCs w:val="23"/>
          <w:rtl w:val="0"/>
        </w:rPr>
        <w:t xml:space="preserve">‘Römische und kanonische Rechtskenntnis und Rechtsschulung im früheren Mittelalter’</w:t>
      </w:r>
      <w:r w:rsidDel="00000000" w:rsidR="00000000" w:rsidRPr="00000000">
        <w:rPr>
          <w:rFonts w:ascii="Trebuchet MS" w:cs="Trebuchet MS" w:eastAsia="Trebuchet MS" w:hAnsi="Trebuchet MS"/>
          <w:color w:val="fee6cf"/>
          <w:sz w:val="23"/>
          <w:szCs w:val="23"/>
          <w:rtl w:val="0"/>
        </w:rPr>
        <w:t xml:space="preserve"> in La scuola nell’Occidente latino dell’alto Medio Evo. Settimane di studio 19 (Spoleto 1972)</w:t>
      </w:r>
    </w:p>
    <w:p w:rsidR="00000000" w:rsidDel="00000000" w:rsidP="00000000" w:rsidRDefault="00000000" w:rsidRPr="00000000" w14:paraId="00000055">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0">
        <w:r w:rsidDel="00000000" w:rsidR="00000000" w:rsidRPr="00000000">
          <w:rPr>
            <w:rFonts w:ascii="Trebuchet MS" w:cs="Trebuchet MS" w:eastAsia="Trebuchet MS" w:hAnsi="Trebuchet MS"/>
            <w:color w:val="db956a"/>
            <w:sz w:val="23"/>
            <w:szCs w:val="23"/>
            <w:rtl w:val="0"/>
          </w:rPr>
          <w:t xml:space="preserve">Friday, September 10, 2010</w:t>
        </w:r>
      </w:hyperlink>
      <w:r w:rsidDel="00000000" w:rsidR="00000000" w:rsidRPr="00000000">
        <w:rPr>
          <w:rtl w:val="0"/>
        </w:rPr>
      </w:r>
    </w:p>
    <w:p w:rsidR="00000000" w:rsidDel="00000000" w:rsidP="00000000" w:rsidRDefault="00000000" w:rsidRPr="00000000" w14:paraId="00000056">
      <w:pPr>
        <w:shd w:fill="38160d" w:val="clear"/>
        <w:spacing w:line="360" w:lineRule="auto"/>
        <w:jc w:val="right"/>
        <w:rPr>
          <w:color w:val="ffffff"/>
          <w:sz w:val="30"/>
          <w:szCs w:val="30"/>
        </w:rPr>
      </w:pPr>
      <w:r w:rsidDel="00000000" w:rsidR="00000000" w:rsidRPr="00000000">
        <w:rPr>
          <w:rFonts w:ascii="Trebuchet MS" w:cs="Trebuchet MS" w:eastAsia="Trebuchet MS" w:hAnsi="Trebuchet MS"/>
          <w:color w:val="d19742"/>
          <w:sz w:val="23"/>
          <w:szCs w:val="23"/>
          <w:rtl w:val="0"/>
        </w:rPr>
        <w:t xml:space="preserve">Labels </w:t>
      </w:r>
      <w:hyperlink r:id="rId11">
        <w:r w:rsidDel="00000000" w:rsidR="00000000" w:rsidRPr="00000000">
          <w:rPr>
            <w:rFonts w:ascii="Trebuchet MS" w:cs="Trebuchet MS" w:eastAsia="Trebuchet MS" w:hAnsi="Trebuchet MS"/>
            <w:color w:val="db956a"/>
            <w:sz w:val="23"/>
            <w:szCs w:val="23"/>
            <w:rtl w:val="0"/>
          </w:rPr>
          <w:t xml:space="preserve">Belas </w:t>
        </w:r>
      </w:hyperlink>
      <w:r w:rsidDel="00000000" w:rsidR="00000000" w:rsidRPr="00000000">
        <w:rPr>
          <w:rFonts w:ascii="Trebuchet MS" w:cs="Trebuchet MS" w:eastAsia="Trebuchet MS" w:hAnsi="Trebuchet MS"/>
          <w:color w:val="d19742"/>
          <w:sz w:val="23"/>
          <w:szCs w:val="23"/>
          <w:rtl w:val="0"/>
        </w:rPr>
        <w:t xml:space="preserve">, </w:t>
      </w:r>
      <w:hyperlink r:id="rId12">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3">
        <w:r w:rsidDel="00000000" w:rsidR="00000000" w:rsidRPr="00000000">
          <w:rPr>
            <w:rFonts w:ascii="Trebuchet MS" w:cs="Trebuchet MS" w:eastAsia="Trebuchet MS" w:hAnsi="Trebuchet MS"/>
            <w:color w:val="db956a"/>
            <w:sz w:val="23"/>
            <w:szCs w:val="23"/>
            <w:rtl w:val="0"/>
          </w:rPr>
          <w:t xml:space="preserve">Pre-Indoeuropean </w:t>
        </w:r>
      </w:hyperlink>
      <w:r w:rsidDel="00000000" w:rsidR="00000000" w:rsidRPr="00000000">
        <w:rPr>
          <w:rFonts w:ascii="Trebuchet MS" w:cs="Trebuchet MS" w:eastAsia="Trebuchet MS" w:hAnsi="Trebuchet MS"/>
          <w:color w:val="d19742"/>
          <w:sz w:val="23"/>
          <w:szCs w:val="23"/>
          <w:rtl w:val="0"/>
        </w:rPr>
        <w:t xml:space="preserve">, </w:t>
      </w:r>
      <w:hyperlink r:id="rId14">
        <w:r w:rsidDel="00000000" w:rsidR="00000000" w:rsidRPr="00000000">
          <w:rPr>
            <w:rFonts w:ascii="Trebuchet MS" w:cs="Trebuchet MS" w:eastAsia="Trebuchet MS" w:hAnsi="Trebuchet MS"/>
            <w:color w:val="db956a"/>
            <w:sz w:val="23"/>
            <w:szCs w:val="23"/>
            <w:rtl w:val="0"/>
          </w:rPr>
          <w:t xml:space="preserve">Religion </w:t>
        </w:r>
      </w:hyperlink>
      <w:r w:rsidDel="00000000" w:rsidR="00000000" w:rsidRPr="00000000">
        <w:rPr>
          <w:rFonts w:ascii="Trebuchet MS" w:cs="Trebuchet MS" w:eastAsia="Trebuchet MS" w:hAnsi="Trebuchet MS"/>
          <w:color w:val="d19742"/>
          <w:sz w:val="23"/>
          <w:szCs w:val="23"/>
          <w:rtl w:val="0"/>
        </w:rPr>
        <w:t xml:space="preserve">, </w:t>
      </w:r>
      <w:hyperlink r:id="rId15">
        <w:r w:rsidDel="00000000" w:rsidR="00000000" w:rsidRPr="00000000">
          <w:rPr>
            <w:rFonts w:ascii="Trebuchet MS" w:cs="Trebuchet MS" w:eastAsia="Trebuchet MS" w:hAnsi="Trebuchet MS"/>
            <w:color w:val="db956a"/>
            <w:sz w:val="23"/>
            <w:szCs w:val="23"/>
            <w:rtl w:val="0"/>
          </w:rPr>
          <w:t xml:space="preserve">Unknown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languages-full.forgottenlanguages.org/search/label/Belas" TargetMode="External"/><Relationship Id="rId10" Type="http://schemas.openxmlformats.org/officeDocument/2006/relationships/hyperlink" Target="https://forgottenlanguages-full.forgottenlanguages.org/2010/09/slandgruks-ladd-jinfssoon-id-lolinsli.html" TargetMode="External"/><Relationship Id="rId13" Type="http://schemas.openxmlformats.org/officeDocument/2006/relationships/hyperlink" Target="https://forgottenlanguages-full.forgottenlanguages.org/search/label/Pre-Indoeuropean" TargetMode="External"/><Relationship Id="rId12" Type="http://schemas.openxmlformats.org/officeDocument/2006/relationships/hyperlink" Target="https://forgottenlanguages-full.forgottenlanguages.org/search/label/Ladd%20cryptol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forgottenlanguages-full.forgottenlanguages.org/search/label/Unknown" TargetMode="External"/><Relationship Id="rId14" Type="http://schemas.openxmlformats.org/officeDocument/2006/relationships/hyperlink" Target="https://forgottenlanguages-full.forgottenlanguages.org/search/label/Religion" TargetMode="External"/><Relationship Id="rId5" Type="http://schemas.openxmlformats.org/officeDocument/2006/relationships/styles" Target="styles.xml"/><Relationship Id="rId6" Type="http://schemas.openxmlformats.org/officeDocument/2006/relationships/hyperlink" Target="https://forgottenlanguages-full.forgottenlanguages.org/2010/09/slandgruks-ladd-jinfssoon-id-lolinsli.html" TargetMode="External"/><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