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nvgov6bbtv08"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Suspension of Disbelief</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82800" cy="3670300"/>
            <wp:effectExtent b="0" l="0" r="0" t="0"/>
            <wp:docPr descr="Suspension of Disbelief Cover" id="2" name="image4.jpg"/>
            <a:graphic>
              <a:graphicData uri="http://schemas.openxmlformats.org/drawingml/2006/picture">
                <pic:pic>
                  <pic:nvPicPr>
                    <pic:cNvPr descr="Suspension of Disbelief Cover" id="0" name="image4.jpg"/>
                    <pic:cNvPicPr preferRelativeResize="0"/>
                  </pic:nvPicPr>
                  <pic:blipFill>
                    <a:blip r:embed="rId7"/>
                    <a:srcRect b="0" l="0" r="0" t="0"/>
                    <a:stretch>
                      <a:fillRect/>
                    </a:stretch>
                  </pic:blipFill>
                  <pic:spPr>
                    <a:xfrm>
                      <a:off x="0" y="0"/>
                      <a:ext cx="20828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Suspension of Disbelief</w:t>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6">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“An ud edder éad merg ladd s'gruks ud gwérn?”</w:t>
      </w:r>
      <w:r w:rsidDel="00000000" w:rsidR="00000000" w:rsidRPr="00000000">
        <w:rPr>
          <w:rFonts w:ascii="Trebuchet MS" w:cs="Trebuchet MS" w:eastAsia="Trebuchet MS" w:hAnsi="Trebuchet MS"/>
          <w:color w:val="fee6cf"/>
          <w:sz w:val="23"/>
          <w:szCs w:val="23"/>
          <w:rtl w:val="0"/>
        </w:rPr>
        <w:t xml:space="preserve"> kláèssò Klàllán kiniz raedd Fahrenheit 451. Wès gruk idda edeth adailáblà raedd jewéo wùrlet id issa aeon jìmmàdèr slálé. Slóy lindég, s'wúélen, ansyrs, </w:t>
      </w:r>
      <w:r w:rsidDel="00000000" w:rsidR="00000000" w:rsidRPr="00000000">
        <w:rPr>
          <w:rFonts w:ascii="Trebuchet MS" w:cs="Trebuchet MS" w:eastAsia="Trebuchet MS" w:hAnsi="Trebuchet MS"/>
          <w:i w:val="1"/>
          <w:iCs w:val="1"/>
          <w:color w:val="fee6cf"/>
          <w:sz w:val="23"/>
          <w:szCs w:val="23"/>
          <w:rtl w:val="0"/>
        </w:rPr>
        <w:t xml:space="preserve">“yt idda asláinst s'láw.”</w:t>
      </w:r>
    </w:p>
    <w:p w:rsidR="00000000" w:rsidDel="00000000" w:rsidP="00000000" w:rsidRDefault="00000000" w:rsidRPr="00000000" w14:paraId="00000007">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08">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“Do you ever read any of the books you burn?” asks the [character] Clarisse in Fahrenheit 451. This book is thus available in audio format and as a computer file. Slowly, Montag, the fireman, answers, “that is against the law.”</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Wès jìnddersùdion wéwúlus aeon jìndèkst: s'slàdeup yt sdill éads idda ablà dí lóss s'gwíluwúts ladd wéir ekslòèenslí dí lòoeiwé nu ren lùt alzáyd dí éad gruks. Raedd raedd am yys, lù wúélen idda lóid dí sòt gruks abláze. Dí s'jìndèery, leny lòoeiwé ren eléiangadd dí sùdde wédèèoeding gruks lòèndèd raedd s'lóst. Gwét s'uesdion ladd ywér lòoeiwé éad merg ladd s'gruks wéy gwéy vaj éslíidde, vaj edden sùdde fdem wésdèsúkdion, gwènlùt gwí wèslèssòd:</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conversation defines a context: the group that still reads is able to pass the [benefits] of their experience to people who are not allowed to read books. In our days, no fireman is paid to set books ablaze. To the contrary, many people are [engaged] to save [deteriorating] books printed in the past. But the question of whether people read any of the books they have or receive, or even save from destruction, cannot be [dismissed]: </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u w:val="single"/>
          <w:rtl w:val="0"/>
        </w:rPr>
        <w:t xml:space="preserve">Act of state doctrine</w:t>
      </w:r>
      <w:r w:rsidDel="00000000" w:rsidR="00000000" w:rsidRPr="00000000">
        <w:rPr>
          <w:rFonts w:ascii="Trebuchet MS" w:cs="Trebuchet MS" w:eastAsia="Trebuchet MS" w:hAnsi="Trebuchet MS"/>
          <w:color w:val="fee6cf"/>
          <w:sz w:val="23"/>
          <w:szCs w:val="23"/>
          <w:rtl w:val="0"/>
        </w:rPr>
        <w:t xml:space="preserve">: the principle expressed in a United States Supreme Court judgement of 1897 that "</w:t>
      </w:r>
      <w:r w:rsidDel="00000000" w:rsidR="00000000" w:rsidRPr="00000000">
        <w:rPr>
          <w:rFonts w:ascii="Trebuchet MS" w:cs="Trebuchet MS" w:eastAsia="Trebuchet MS" w:hAnsi="Trebuchet MS"/>
          <w:i w:val="1"/>
          <w:iCs w:val="1"/>
          <w:color w:val="fee6cf"/>
          <w:sz w:val="23"/>
          <w:szCs w:val="23"/>
          <w:rtl w:val="0"/>
        </w:rPr>
        <w:t xml:space="preserve">every sovereign State is bound to respect the independence of every other sovereign State, and the courts of one country will not sit in judgment on the acts of the government of another, done within its own territory</w:t>
      </w:r>
      <w:r w:rsidDel="00000000" w:rsidR="00000000" w:rsidRPr="00000000">
        <w:rPr>
          <w:rFonts w:ascii="Trebuchet MS" w:cs="Trebuchet MS" w:eastAsia="Trebuchet MS" w:hAnsi="Trebuchet MS"/>
          <w:color w:val="fee6cf"/>
          <w:sz w:val="23"/>
          <w:szCs w:val="23"/>
          <w:rtl w:val="0"/>
        </w:rPr>
        <w:t xml:space="preserve">". Other jurisdictions of course also use this doctrine. And nobody, of course, complies with it.</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467100" cy="2527300"/>
            <wp:effectExtent b="0" l="0" r="0" t="0"/>
            <wp:docPr descr="Disbelief-D" id="3" name="image3.jpg"/>
            <a:graphic>
              <a:graphicData uri="http://schemas.openxmlformats.org/drawingml/2006/picture">
                <pic:pic>
                  <pic:nvPicPr>
                    <pic:cNvPr descr="Disbelief-D" id="0" name="image3.jpg"/>
                    <pic:cNvPicPr preferRelativeResize="0"/>
                  </pic:nvPicPr>
                  <pic:blipFill>
                    <a:blip r:embed="rId8"/>
                    <a:srcRect b="0" l="0" r="0" t="0"/>
                    <a:stretch>
                      <a:fillRect/>
                    </a:stretch>
                  </pic:blipFill>
                  <pic:spPr>
                    <a:xfrm>
                      <a:off x="0" y="0"/>
                      <a:ext cx="34671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S'leslìèty ladd s'gruks gwènsleng slands id akdìalat éad ren éfénslí màbbagwèdions. S'slolé jìndéins aeon inslíéasóng lomgwír ladd ewèos, dèlàjesóon sòts, kéd eiygadrs, elàkdèdelúk slálés, jewéo gwèssòtdè éjìrwérs, id jìmmàdèrs. S'sòlf slóslí sha gruks idda gwíing déslín sud ifeshi owér léwèa. Ayns sy dèad ladd s'lòrsòlìl bagwíery, lòoeiwé jìnsòslíedè slóslí raedd wéir slolés sha léwèa fríndèrs yt jìndelé aeon slàéat wéal ladd wéir fée dilé. Ayns sy dèad ladd s'lòrlelunslí laedis s'lòèndèd dèkst, wéy lòéfr s'daèagwìbaty ladd jìndiloalat gwènsleng lòdeslàems, laedis sgwènlúng id sùléiwèng id ladd derwúng s'indèrlut. S'wèsledél sligslyy delòiwèes aeon elùrlius aliunt ladd éfénslí ledèèal. Wès ledèèal is, liéodder, slípt sud dí ydè, sòléwèng yt idda lùt sò easy dí akjìléiwès sem gwend sòts ladd enkykzálòwèas vaj edden sem s'dèlàwùlu gruk:</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[majority] of the books changing hands and actually read are reference publications. The home contains an increasing number of e-books, television sets, [CD] [players], electronic files, audio cassette [recorders], and computers. The shelf space for books is being taken up by other media. Instead of the personal library, people consolidate space in their homes for media centers that [contain] a great deal of their free time. Instead of the [permanence] of the printed text, they prefer the [variability] of continually changing programs, of scanning and surfing and of browsing the internet. The digital highway [provides] an enormous amount of reference material. This material is, [moreover], kept up to date, something that is not so easy to achieve with [printed] sets of encyclopedias or even with the telephone book:</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u w:val="single"/>
          <w:rtl w:val="0"/>
        </w:rPr>
        <w:t xml:space="preserve">Aggressive reciprocity</w:t>
      </w:r>
      <w:r w:rsidDel="00000000" w:rsidR="00000000" w:rsidRPr="00000000">
        <w:rPr>
          <w:rFonts w:ascii="Trebuchet MS" w:cs="Trebuchet MS" w:eastAsia="Trebuchet MS" w:hAnsi="Trebuchet MS"/>
          <w:color w:val="fee6cf"/>
          <w:sz w:val="23"/>
          <w:szCs w:val="23"/>
          <w:rtl w:val="0"/>
        </w:rPr>
        <w:t xml:space="preserve">: the unilateral action of an economy which seeks to force a trading partner to change its trade policy. Measures used include </w:t>
      </w:r>
      <w:r w:rsidDel="00000000" w:rsidR="00000000" w:rsidRPr="00000000">
        <w:rPr>
          <w:rFonts w:ascii="Trebuchet MS" w:cs="Trebuchet MS" w:eastAsia="Trebuchet MS" w:hAnsi="Trebuchet MS"/>
          <w:i w:val="1"/>
          <w:iCs w:val="1"/>
          <w:color w:val="fee6cf"/>
          <w:sz w:val="23"/>
          <w:szCs w:val="23"/>
          <w:rtl w:val="0"/>
        </w:rPr>
        <w:t xml:space="preserve">retaliation</w:t>
      </w:r>
      <w:r w:rsidDel="00000000" w:rsidR="00000000" w:rsidRPr="00000000">
        <w:rPr>
          <w:rFonts w:ascii="Trebuchet MS" w:cs="Trebuchet MS" w:eastAsia="Trebuchet MS" w:hAnsi="Trebuchet MS"/>
          <w:color w:val="fee6cf"/>
          <w:sz w:val="23"/>
          <w:szCs w:val="23"/>
          <w:rtl w:val="0"/>
        </w:rPr>
        <w:t xml:space="preserve"> in response to perceived unfair actions, the use of domestic trade legislation, etc. Aggressive reciprocity is capable of solving some trade issues, but often at the expense of considerable political ill-will. Obviously, </w:t>
      </w:r>
      <w:r w:rsidDel="00000000" w:rsidR="00000000" w:rsidRPr="00000000">
        <w:rPr>
          <w:rFonts w:ascii="Trebuchet MS" w:cs="Trebuchet MS" w:eastAsia="Trebuchet MS" w:hAnsi="Trebuchet MS"/>
          <w:i w:val="1"/>
          <w:iCs w:val="1"/>
          <w:color w:val="fee6cf"/>
          <w:sz w:val="23"/>
          <w:szCs w:val="23"/>
          <w:rtl w:val="0"/>
        </w:rPr>
        <w:t xml:space="preserve">solving some trade issues</w:t>
      </w:r>
      <w:r w:rsidDel="00000000" w:rsidR="00000000" w:rsidRPr="00000000">
        <w:rPr>
          <w:rFonts w:ascii="Trebuchet MS" w:cs="Trebuchet MS" w:eastAsia="Trebuchet MS" w:hAnsi="Trebuchet MS"/>
          <w:color w:val="fee6cf"/>
          <w:sz w:val="23"/>
          <w:szCs w:val="23"/>
          <w:rtl w:val="0"/>
        </w:rPr>
        <w:t xml:space="preserve"> means </w:t>
      </w:r>
      <w:r w:rsidDel="00000000" w:rsidR="00000000" w:rsidRPr="00000000">
        <w:rPr>
          <w:rFonts w:ascii="Trebuchet MS" w:cs="Trebuchet MS" w:eastAsia="Trebuchet MS" w:hAnsi="Trebuchet MS"/>
          <w:i w:val="1"/>
          <w:iCs w:val="1"/>
          <w:color w:val="fee6cf"/>
          <w:sz w:val="23"/>
          <w:szCs w:val="23"/>
          <w:rtl w:val="0"/>
        </w:rPr>
        <w:t xml:space="preserve">destroying social equality and social justice</w:t>
      </w:r>
      <w:r w:rsidDel="00000000" w:rsidR="00000000" w:rsidRPr="00000000">
        <w:rPr>
          <w:rFonts w:ascii="Trebuchet MS" w:cs="Trebuchet MS" w:eastAsia="Trebuchet MS" w:hAnsi="Trebuchet MS"/>
          <w:color w:val="fee6cf"/>
          <w:sz w:val="23"/>
          <w:szCs w:val="23"/>
          <w:rtl w:val="0"/>
        </w:rPr>
        <w:t xml:space="preserve">, but who cares, anyway?</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Gruks ren lùt gwérlud, gwét luiwér ren wéy éad sem lík jìmlètlént.</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Books are not burned, but fewer are they read with much commitment.</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59000" cy="2311400"/>
            <wp:effectExtent b="0" l="0" r="0" t="0"/>
            <wp:docPr descr="IDIOTA3" id="1" name="image2.jpg"/>
            <a:graphic>
              <a:graphicData uri="http://schemas.openxmlformats.org/drawingml/2006/picture">
                <pic:pic>
                  <pic:nvPicPr>
                    <pic:cNvPr descr="IDIOTA3" id="0" name="image2.jpg"/>
                    <pic:cNvPicPr preferRelativeResize="0"/>
                  </pic:nvPicPr>
                  <pic:blipFill>
                    <a:blip r:embed="rId9"/>
                    <a:srcRect b="0" l="0" r="0" t="0"/>
                    <a:stretch>
                      <a:fillRect/>
                    </a:stretch>
                  </pic:blipFill>
                  <pic:spPr>
                    <a:xfrm>
                      <a:off x="0" y="0"/>
                      <a:ext cx="2159000" cy="2311400"/>
                    </a:xfrm>
                    <a:prstGeom prst="rect"/>
                    <a:ln/>
                  </pic:spPr>
                </pic:pic>
              </a:graphicData>
            </a:graphic>
          </wp:inline>
        </w:drawing>
      </w:r>
      <w:r w:rsidDel="00000000" w:rsidR="00000000" w:rsidRPr="00000000">
        <w:rPr>
          <w:rFonts w:ascii="Trebuchet MS" w:cs="Trebuchet MS" w:eastAsia="Trebuchet MS" w:hAnsi="Trebuchet MS"/>
          <w:color w:val="fee6cf"/>
          <w:sz w:val="23"/>
          <w:szCs w:val="23"/>
          <w:rtl w:val="0"/>
        </w:rPr>
        <w:br w:type="textWrapping"/>
        <w:t xml:space="preserve">Sgwènlúng dàèd deugsl aeon sdíry vaj éawèng s'demlery fudd s'láwúp slòkslít, wúlbang olu’s dilé wíèng aeon jìmlídè vaj raz s'airmárt idda savo yt slaplòns raedd list gwèsòs. Aeon daèety ladd gruks ren yètdèn sha dek màrmásòs. Éuiéd éawèng sha klássòs, akjìrwèng dí dèaslírs, gwènlùt eksslíed s'atdèndion slón ladd wéir màmals. Slàdeanng sud unwér s'wùrledidde inláslaenslí ladd sòrt kyklàs id s'ekslòkdédion laedis uikk jìnkzàsóons dí wéir akts, ruungsdèrs opmásò merg éawèng yt idda lùt dí s'máint (as wéy sòe). Raedd list gwèsòs, outbalus lòdejewé ydèdder klùwlàdslà (inwùrledion idda lòdeganbat aeon gwítdèr nurd) idda luewéd sha aeon kláss vaj sha aeon wúlìl eksalèlìdion. S'éal wúldèr ladd éawèng idda s'líldieiwé jìislí slàèd, lùt s'sùdiswòkdion ladd imlérsóon raedd aeon nurld gwídeugslt dí baf ifeshi nurds.</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Scanning through a story or reading the summary on the book jacket, [wasting] one's time during a commute or at the airport is all that happens in most cases. A variety of books are written for such purposes. Required reading for classes, according to [teenagers], cannot exceed the attention span of their [peers]. [Giving up] under the worldwide influence of short cycles and the expectation of quick conclusions to their acts, youngsters oppose any reading that is not to the point (as they see). In most cases, [outputs] provide whatever knowledge (information is probably a better word) is needed for a class or for a final examination. The real [wonder] of reading is the [cognitive] [intellectual] [gain], not the satisfaction of immersion in a world brought to life by words.</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Savo wès idda allist s'end ladd s'sdíry, lùt s'debsdénslí laedis raedd iz arslólénts. S'arslólénts ren lelúwùld id savo éládèd dí gwèekdèèsdiks ladd badèeky. Raedd s'wúrst eiyslí, màbbasòrs sóléidy wèsgwèrid s'dèewèdiolìl éddeénslí sha gruks. Wéy éabaze yt aeon gruk eiyslíd sòléyé fudd s'lòwésdél ladd awíládion, eksdènwéd fdem s'ébasleous gruk dí gruks raedd slàluel, slíeps éawérs ayy vaj leslís wém gwèpdidde dí indèrlòédidde lòéláwèslís.</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All this is at least the end of the story, not the substance of its arguments. The arguments are [removed] and all related to characteristics of [literacy]. In the first place, publishers already disregard the traditional audience for books. They realize that a book placed solely on the lowest level of availability, extended from the religious book to books in general, keeps readers away or makes them captive to interpretive [prejudices].</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530600" cy="1854200"/>
            <wp:effectExtent b="0" l="0" r="0" t="0"/>
            <wp:docPr descr="mooncatch_composicion" id="4" name="image1.jpg"/>
            <a:graphic>
              <a:graphicData uri="http://schemas.openxmlformats.org/drawingml/2006/picture">
                <pic:pic>
                  <pic:nvPicPr>
                    <pic:cNvPr descr="mooncatch_composicion" id="0" name="image1.jpg"/>
                    <pic:cNvPicPr preferRelativeResize="0"/>
                  </pic:nvPicPr>
                  <pic:blipFill>
                    <a:blip r:embed="rId10"/>
                    <a:srcRect b="0" l="0" r="0" t="0"/>
                    <a:stretch>
                      <a:fillRect/>
                    </a:stretch>
                  </pic:blipFill>
                  <pic:spPr>
                    <a:xfrm>
                      <a:off x="0" y="0"/>
                      <a:ext cx="3530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Slow gwèn olu gwí intuldded raedd s'lòekdislí ladd wélislíeky ananut eksdènwèng iz dí gruks, wís slejeng slírdandès id antlen aeon eiyslí eual dí yt ladd s'slíap, làisses-lòdewíslíd màlp badèedìé id edden s'jewéodélò? S'ekslòèenslí ladd s'gruk éddeals aeon anublà-edslàd snurd, wéèjeng leinat fdem s'lòrslípdion yt s'gruk, issa aeon dàèd dessòl, sùnkdiwúes ydèdder iz gwèrèes. Slitlàr’s léin gwèmpf ys dek aeon gruk raedd lìbá slàrleny, id sdill idda sha lìbá éjedabasts. Raedd s'wùrlér jìmlílúst jìundèèes, s'gruks ladd lerks id enslàls yé sùnkdiwúed, lòèndèd ananut daidd (afdèr gwèéslal ewèding), id wùrslíd umán éawérs ladd savo aslà slàdeups, eslòjíalat s'ruung:</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How can one be involved in the practice of [literacy] without extending it to books, thus holding standards and [occupying] a place equal to that of the cheap, mass-produced pulp literature and even the [video-?, audiobooks]? The experience of the book reveals a double-edged sword, ranging mainly from the perception that the book, as a dead vessel, sanctifies whatever it bears. Hitler’s Mein Kampf was such a book in Nazi Germany, and still is for Nazi apologists. In the former communist countries, the books of Marx and Engels were sanctified, printed without date (after careful editing), and forced upon readers of all age groups, especially the young:</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u w:val="single"/>
          <w:rtl w:val="0"/>
        </w:rPr>
        <w:t xml:space="preserve">Amicus brief:</w:t>
      </w:r>
      <w:r w:rsidDel="00000000" w:rsidR="00000000" w:rsidRPr="00000000">
        <w:rPr>
          <w:rFonts w:ascii="Trebuchet MS" w:cs="Trebuchet MS" w:eastAsia="Trebuchet MS" w:hAnsi="Trebuchet MS"/>
          <w:color w:val="fee6cf"/>
          <w:sz w:val="23"/>
          <w:szCs w:val="23"/>
          <w:rtl w:val="0"/>
        </w:rPr>
        <w:t xml:space="preserve"> an opinion offered to the court by a disinterested party (called </w:t>
      </w:r>
      <w:r w:rsidDel="00000000" w:rsidR="00000000" w:rsidRPr="00000000">
        <w:rPr>
          <w:rFonts w:ascii="Trebuchet MS" w:cs="Trebuchet MS" w:eastAsia="Trebuchet MS" w:hAnsi="Trebuchet MS"/>
          <w:i w:val="1"/>
          <w:iCs w:val="1"/>
          <w:color w:val="fee6cf"/>
          <w:sz w:val="23"/>
          <w:szCs w:val="23"/>
          <w:rtl w:val="0"/>
        </w:rPr>
        <w:t xml:space="preserve">amicus curiae</w:t>
      </w:r>
      <w:r w:rsidDel="00000000" w:rsidR="00000000" w:rsidRPr="00000000">
        <w:rPr>
          <w:rFonts w:ascii="Trebuchet MS" w:cs="Trebuchet MS" w:eastAsia="Trebuchet MS" w:hAnsi="Trebuchet MS"/>
          <w:color w:val="fee6cf"/>
          <w:sz w:val="23"/>
          <w:szCs w:val="23"/>
          <w:rtl w:val="0"/>
        </w:rPr>
        <w:t xml:space="preserve"> or </w:t>
      </w:r>
      <w:r w:rsidDel="00000000" w:rsidR="00000000" w:rsidRPr="00000000">
        <w:rPr>
          <w:rFonts w:ascii="Trebuchet MS" w:cs="Trebuchet MS" w:eastAsia="Trebuchet MS" w:hAnsi="Trebuchet MS"/>
          <w:i w:val="1"/>
          <w:iCs w:val="1"/>
          <w:color w:val="fee6cf"/>
          <w:sz w:val="23"/>
          <w:szCs w:val="23"/>
          <w:rtl w:val="0"/>
        </w:rPr>
        <w:t xml:space="preserve">friend of the court</w:t>
      </w:r>
      <w:r w:rsidDel="00000000" w:rsidR="00000000" w:rsidRPr="00000000">
        <w:rPr>
          <w:rFonts w:ascii="Trebuchet MS" w:cs="Trebuchet MS" w:eastAsia="Trebuchet MS" w:hAnsi="Trebuchet MS"/>
          <w:color w:val="fee6cf"/>
          <w:sz w:val="23"/>
          <w:szCs w:val="23"/>
          <w:rtl w:val="0"/>
        </w:rPr>
        <w:t xml:space="preserve">) in the hope that this would assist the judges in arriving at the best possible outcomes. Courts don’t always like being helped in this way, unless the </w:t>
      </w:r>
      <w:r w:rsidDel="00000000" w:rsidR="00000000" w:rsidRPr="00000000">
        <w:rPr>
          <w:rFonts w:ascii="Trebuchet MS" w:cs="Trebuchet MS" w:eastAsia="Trebuchet MS" w:hAnsi="Trebuchet MS"/>
          <w:i w:val="1"/>
          <w:iCs w:val="1"/>
          <w:color w:val="fee6cf"/>
          <w:sz w:val="23"/>
          <w:szCs w:val="23"/>
          <w:rtl w:val="0"/>
        </w:rPr>
        <w:t xml:space="preserve">opinion offered</w:t>
      </w:r>
      <w:r w:rsidDel="00000000" w:rsidR="00000000" w:rsidRPr="00000000">
        <w:rPr>
          <w:rFonts w:ascii="Trebuchet MS" w:cs="Trebuchet MS" w:eastAsia="Trebuchet MS" w:hAnsi="Trebuchet MS"/>
          <w:color w:val="fee6cf"/>
          <w:sz w:val="23"/>
          <w:szCs w:val="23"/>
          <w:rtl w:val="0"/>
        </w:rPr>
        <w:t xml:space="preserve"> consists of a substantial amount of money. This is normally known as </w:t>
      </w:r>
      <w:r w:rsidDel="00000000" w:rsidR="00000000" w:rsidRPr="00000000">
        <w:rPr>
          <w:rFonts w:ascii="Trebuchet MS" w:cs="Trebuchet MS" w:eastAsia="Trebuchet MS" w:hAnsi="Trebuchet MS"/>
          <w:i w:val="1"/>
          <w:iCs w:val="1"/>
          <w:color w:val="fee6cf"/>
          <w:sz w:val="23"/>
          <w:szCs w:val="23"/>
          <w:rtl w:val="0"/>
        </w:rPr>
        <w:t xml:space="preserve">corruption</w:t>
      </w:r>
      <w:r w:rsidDel="00000000" w:rsidR="00000000" w:rsidRPr="00000000">
        <w:rPr>
          <w:rFonts w:ascii="Trebuchet MS" w:cs="Trebuchet MS" w:eastAsia="Trebuchet MS" w:hAnsi="Trebuchet MS"/>
          <w:color w:val="fee6cf"/>
          <w:sz w:val="23"/>
          <w:szCs w:val="23"/>
          <w:rtl w:val="0"/>
        </w:rPr>
        <w:t xml:space="preserve">, you see...</w:t>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Lùgydy jìuld arfróe asláinst edden dèèjeal wòkdìal erders yt sbaplòd indí wéir yèdings, indí dèensládions, vaj indí sòlàkdidde ewèdions. Leos battlà éd gruk ys wèsdèègwédèd fée dí edderrulu raedd jílì. Raedd raedd am yy, slitlàr id owér auanrs ladd s'sùlé gwínt ren màbbasòd. Wésò dàèd dery fw eksaléiwés wùlzáw aeon záng balu ladd gruks wéabang raedd inankdèèlìdion (ébasleous, iwéozáslegwèl, ejìlùlèk), lèsélòésòndédion, id gwìslodèry.</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Nobody could argue against even [trivial] [factual] errors that [happened] into their writings, into translations, or into selected editions. [Leos] [battlà] [éd] book was [distributed] free to everyone in [July]. In our day, Hitler and other authors of the same kind are published. These dead very few examples follow a long line of books dealing in indoctrination (religious, ideological, economic), [misrepresentation], and bigotry.</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Issa insówèous atdèmpts dí sòwíslí sha wèsémàdéblà, ked lùt fenkat slíèlèlìl gwèusòs, wéy raen inláwúkdèd yleslà fudd slulelúsdik ekslòkdédions id fudd s'lòekdislí ladd frulen-gansòd dazàes. Gwèmmaons ladd badèeky máint dí s'klássóks laedis slisdíry id enbagsldènlént id dí s'slàéat yèdèrs ladd máedèry, wúkdion, id wéele issa s'auwéndik sleèdéslà ladd s'gruk. Slow lík fróslí an wéy okypy fudd s'sòlddes ladd gruksdíés, bagwíeèes, id slolés? Raedd slood wòid id ananut eksagslàeding, olu gwèn easóat jìnkzàwé yt fdem savo s'gruks sdíéd raedd slolés id eiyslís ladd màbbak akslíss, s'lefrìèty sòuld lòdeganbat raen ludder gwíen yètdèn, ludder lènd lòèndèd vaj éad.</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 [ingenuous] attempts to [solve] for this [problem], if not for other critical causes, they have invoked [data] on humanistic expectations and on the practice of human-based values. [Games] of [literacy] point to the classics of history and enlightenment and to the great writers of poetry, fiction, and drama as the authentic heritage of the book. How much [space] do they occupy on the shelves of bookstores, libraries, and homes? In good [faith] and without exaggerating, one can easily conclude that from all the books stored in homes and places of public access, the [majority] would probably have never been written, never even printed or read.</w:t>
      </w:r>
    </w:p>
    <w:p w:rsidR="00000000" w:rsidDel="00000000" w:rsidP="00000000" w:rsidRDefault="00000000" w:rsidRPr="00000000" w14:paraId="00000030">
      <w:pPr>
        <w:shd w:fill="38160d" w:val="clear"/>
        <w:jc w:val="right"/>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1">
      <w:pPr>
        <w:shd w:fill="38160d" w:val="clear"/>
        <w:jc w:val="left"/>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311400" cy="2311400"/>
            <wp:effectExtent b="0" l="0" r="0" t="0"/>
            <wp:docPr descr="Disdain" id="5" name="image5.jpg"/>
            <a:graphic>
              <a:graphicData uri="http://schemas.openxmlformats.org/drawingml/2006/picture">
                <pic:pic>
                  <pic:nvPicPr>
                    <pic:cNvPr descr="Disdain" id="0" name="image5.jpg"/>
                    <pic:cNvPicPr preferRelativeResize="0"/>
                  </pic:nvPicPr>
                  <pic:blipFill>
                    <a:blip r:embed="rId11"/>
                    <a:srcRect b="0" l="0" r="0" t="0"/>
                    <a:stretch>
                      <a:fillRect/>
                    </a:stretch>
                  </pic:blipFill>
                  <pic:spPr>
                    <a:xfrm>
                      <a:off x="0" y="0"/>
                      <a:ext cx="2311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38160d" w:val="clear"/>
        <w:jc w:val="left"/>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Ked wésò gruks id lòèowègwèls yé onat élòdididde ladd yt </w:t>
      </w:r>
      <w:r w:rsidDel="00000000" w:rsidR="00000000" w:rsidRPr="00000000">
        <w:rPr>
          <w:rFonts w:ascii="Trebuchet MS" w:cs="Trebuchet MS" w:eastAsia="Trebuchet MS" w:hAnsi="Trebuchet MS"/>
          <w:color w:val="fee6cf"/>
          <w:sz w:val="23"/>
          <w:szCs w:val="23"/>
          <w:rtl w:val="0"/>
        </w:rPr>
        <w:t xml:space="preserve">slad</w:t>
      </w:r>
      <w:r w:rsidDel="00000000" w:rsidR="00000000" w:rsidRPr="00000000">
        <w:rPr>
          <w:rFonts w:ascii="Trebuchet MS" w:cs="Trebuchet MS" w:eastAsia="Trebuchet MS" w:hAnsi="Trebuchet MS"/>
          <w:color w:val="fee6cf"/>
          <w:sz w:val="23"/>
          <w:szCs w:val="23"/>
          <w:rtl w:val="0"/>
        </w:rPr>
        <w:t xml:space="preserve"> gwíen sùid id anugslt lòéjeousat, wéy siud lùt wésòrdde dek sdèdeng jìnwémlìdion. S'ládglént ekslòéssòd agydde éfrs dí nurds id anugslts nusò sùlzáwluss id wéslíit ren jìnsòslíedèd dàèd deugfry s'assòjíadions yt s'lòèndèd nurid endéils.</w:t>
      </w:r>
    </w:p>
    <w:p w:rsidR="00000000" w:rsidDel="00000000" w:rsidP="00000000" w:rsidRDefault="00000000" w:rsidRPr="00000000" w14:paraId="00000033">
      <w:pPr>
        <w:shd w:fill="38160d" w:val="clear"/>
        <w:jc w:val="left"/>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4">
      <w:pPr>
        <w:shd w:fill="38160d" w:val="clear"/>
        <w:jc w:val="left"/>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If these books and pamphlets were only [indicative] of what had been said and thought previously, they would not deserve such strong compulsion. The judgment expressed afterwards refers to words and thoughts whose [suggestion] and deceit are consolidated through the associations that the printed word entails.</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Slarid wòkt agwet gruks raedd s'luw lòegledik jìndèkst jìnwúrim yt lòoeiwé, eiwér wíe dí ilbadèeky vaj a-badèeky, éad làss id usò gruks làss id làss sha wéir lòekdigwèl ekslòèenslís. Ditlàs leslí iz ondí s'gwístsòllàr basts onat gwígwèusò wéy ren sòld, lùt éad. Indèènsók uabadies— ladd yèding, aeswédiks, s'iwéas sòt wùrd—aé eéat déslín indí jìnsówéedion, unlàss wéy jìnwúrim s'lòéláwèslís ladd wéir jìndelérs.</w:t>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[Another] fact about books in the new [global] context confirms that people, whether due to illiteracy or a-literacy, read less and use books less and less for their practical experiences. Titles make it onto the bestseller lists only because they are sold, not read. Intrinsic qualities— of writing, aesthetics, the ideas set forth—[are] [best] taken into consideration, unless they confirm the prejudices of their contemporaries.</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Gruks ofdèn leslí iz ondí s'gruksòlf issa aeon sdédìs symgyl.</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Books often [make] [it] [onto] the bookshelf as a status symbol.</w:t>
      </w:r>
    </w:p>
    <w:p w:rsidR="00000000" w:rsidDel="00000000" w:rsidP="00000000" w:rsidRDefault="00000000" w:rsidRPr="00000000" w14:paraId="0000003C">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2">
        <w:r w:rsidDel="00000000" w:rsidR="00000000" w:rsidRPr="00000000">
          <w:rPr>
            <w:rFonts w:ascii="Trebuchet MS" w:cs="Trebuchet MS" w:eastAsia="Trebuchet MS" w:hAnsi="Trebuchet MS"/>
            <w:color w:val="db956a"/>
            <w:sz w:val="23"/>
            <w:szCs w:val="23"/>
            <w:rtl w:val="0"/>
          </w:rPr>
          <w:t xml:space="preserve">Monday, September 05, 2011</w:t>
        </w:r>
      </w:hyperlink>
      <w:r w:rsidDel="00000000" w:rsidR="00000000" w:rsidRPr="00000000">
        <w:rPr>
          <w:rtl w:val="0"/>
        </w:rPr>
      </w:r>
    </w:p>
    <w:p w:rsidR="00000000" w:rsidDel="00000000" w:rsidP="00000000" w:rsidRDefault="00000000" w:rsidRPr="00000000" w14:paraId="0000003D">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3">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4">
        <w:r w:rsidDel="00000000" w:rsidR="00000000" w:rsidRPr="00000000">
          <w:rPr>
            <w:rFonts w:ascii="Trebuchet MS" w:cs="Trebuchet MS" w:eastAsia="Trebuchet MS" w:hAnsi="Trebuchet MS"/>
            <w:color w:val="db956a"/>
            <w:sz w:val="23"/>
            <w:szCs w:val="23"/>
            <w:rtl w:val="0"/>
          </w:rPr>
          <w:t xml:space="preserve">Philosophy of Language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jpg"/><Relationship Id="rId13" Type="http://schemas.openxmlformats.org/officeDocument/2006/relationships/hyperlink" Target="https://forgottenlanguages-full.forgottenlanguages.org/search/label/Ladd%20cryptolect" TargetMode="External"/><Relationship Id="rId12" Type="http://schemas.openxmlformats.org/officeDocument/2006/relationships/hyperlink" Target="https://forgottenlanguages-full.forgottenlanguages.org/2011/09/suspension-of-disbelief.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hyperlink" Target="https://forgottenlanguages-full.forgottenlanguages.org/search/label/Philosophy%20of%20Language" TargetMode="External"/><Relationship Id="rId5" Type="http://schemas.openxmlformats.org/officeDocument/2006/relationships/styles" Target="styles.xml"/><Relationship Id="rId6" Type="http://schemas.openxmlformats.org/officeDocument/2006/relationships/hyperlink" Target="https://forgottenlanguages-full.forgottenlanguages.org/2011/09/suspension-of-disbelief.html" TargetMode="External"/><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