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 Modelo de Monetização e Viabilidade Financeira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 Modelo de Monetização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modelo de negócios do AllStay foi estruturado com base no conceito de Software as a Service (SaaS) para o mercado B2B, no qual hotéis contratam a plataforma por meio de uma assinatura recorrente. Esse modelo foi escolhido por proporcionar previsibilidade de receita, facilidade de escalabilidade e relacionamento contínuo com os clientes.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Diferentemente de soluções desenvolvidas sob encomenda, o AllStay disponibiliza uma plataforma única e parametrizável, reduzindo custos de implantação e permitindo evolução contínua do produto. A comercialização ocorre por meio de um processo consultivo iniciado em uma landing page institucional, seguido de reuniões de diagnóstico e negociação contratual.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Foram definidos três níveis de serviço: Essential (a partir de R$ 5.000/mês), Professional (a partir de R$ 10.000/mês) e Enterprise (a partir de R$ 15.000/mês), variando conforme porte do hotel, nível de atendimento, analytics e serviços especializados.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Além do SaaS, a empresa oferecerá contratos Enterprise Customizados para grandes redes hoteleiras, com squads dedicadas para desenvolvimento sob demanda. Esses contratos possuem ticket inicial estimado em R$ 100.000 mensais e garantem exclusividade das funcionalidades desenvolvidas por até dois anos.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Como evolução futura, prevê-se a monetização por comissão (take rate) sobre reservas e pagamentos realizados na plataforma por meio de integrações com adquirentes e arranjos modernos de pagamento, como Pix e cartões. Essa receita não foi considerada nas projeções deste trabalho.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2 Premissas Financeiras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 projeções financeiras foram elaboradas considerando um cenário conservador, típico de startups B2B em fase inicial. A estratégia prevê crescimento gradual da carteira de clientes, priorizando qualidade de implantação, retenção e amadurecimento do produto.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projeção considera cinco clientes SaaS no primeiro ano, doze no segundo e vinte ao final do terceiro ano, além da conquista de um contrato Enterprise Customizado.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Foi adotado ticket médio de R$7.500 mensais por cliente SaaS.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Tabela – Premissas</w:t>
        <w:br w:type="textWrapping"/>
        <w:t xml:space="preserve">Ano 1: 5 clientes | MRR R$37.500 | ARR R$450.000</w:t>
        <w:br w:type="textWrapping"/>
        <w:t xml:space="preserve">Ano 2: 12 clientes | MRR R$90.000 | ARR R$1.080.000</w:t>
        <w:br w:type="textWrapping"/>
        <w:t xml:space="preserve">Ano 3: 20 clientes + 1 Enterprise | MRR R$250.000 | ARR R$3.000.000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receita futura proveniente de take rate foi deliberadamente desconsiderada para manter a projeção conservadora.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3 Estrutura de Custos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Os investimentos foram divididos entre CAPEX e OPEX.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Despesas de Capital (CAPEX)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  <w:t xml:space="preserve">O CAPEX contempla desenvolvimento do MVP (R$100.000), infraestrutura durante o desenvolvimento (R$30.000), constituição da empresa (R$20.000), estruturação comercial (R$50.000) e capital de giro estimado em R$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1.131.000 (considera 6 meses de gastos do ano 3)</w:t>
      </w:r>
      <w:r w:rsidDel="00000000" w:rsidR="00000000" w:rsidRPr="00000000">
        <w:rPr>
          <w:rtl w:val="0"/>
        </w:rPr>
        <w:t xml:space="preserve">, mais uma reserva de contingência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de </w:t>
      </w:r>
      <w:r w:rsidDel="00000000" w:rsidR="00000000" w:rsidRPr="00000000">
        <w:rPr>
          <w:rtl w:val="0"/>
        </w:rPr>
        <w:t xml:space="preserve">R$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1.222.000,</w:t>
      </w:r>
      <w:r w:rsidDel="00000000" w:rsidR="00000000" w:rsidRPr="00000000">
        <w:rPr>
          <w:rtl w:val="0"/>
        </w:rPr>
        <w:t xml:space="preserve"> totalizando um investimento inicial de R$2.553.000.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Despesas Operacionais (OPEX)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OPEX foi projetado de forma escalável. No primeiro ano a operação conta com Tech Lead, Desenvolvedor, Customer Success, Comercial e Administrativo. No segundo ano são incorporados UX Designer e mais um desenvolvedor. No terceiro ano são adicionados Product Manager, Product Owner e um terceiro desenvolvedor.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Estrutura de Equipe Projetada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6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1650"/>
        <w:gridCol w:w="1650"/>
        <w:gridCol w:w="1650"/>
        <w:gridCol w:w="1650"/>
        <w:tblGridChange w:id="0">
          <w:tblGrid>
            <w:gridCol w:w="2565"/>
            <w:gridCol w:w="1650"/>
            <w:gridCol w:w="1650"/>
            <w:gridCol w:w="1650"/>
            <w:gridCol w:w="1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Custo anual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Ano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Ano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Ano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Tech Lead</w:t>
            </w:r>
          </w:p>
        </w:tc>
        <w:tc>
          <w:tcPr/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R$ 240.000</w:t>
            </w:r>
          </w:p>
        </w:tc>
        <w:tc>
          <w:tcPr/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R$ 240.000</w:t>
            </w:r>
          </w:p>
        </w:tc>
        <w:tc>
          <w:tcPr/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R$ 240.000</w:t>
            </w:r>
          </w:p>
        </w:tc>
        <w:tc>
          <w:tcPr/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R$ 240.000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Desenvolvedor Full Stack</w:t>
            </w:r>
          </w:p>
        </w:tc>
        <w:tc>
          <w:tcPr/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R$ 180.000</w:t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R$ 180.000</w:t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R$ 360.000 (2)</w:t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R$ 540.000 (3)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UX Designer</w:t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R$ 150.000</w:t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R$ 150.000</w:t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R$ 150.000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Product Manager</w:t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R$ 240.000</w:t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R$ 240.000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R$ 180.000</w:t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R$ 180.000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Customer Success</w:t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R$ 144.000</w:t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R$ 144.000</w:t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R$ 144.000</w:t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R$ 144.000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Executivo Comercial</w:t>
            </w:r>
          </w:p>
        </w:tc>
        <w:tc>
          <w:tcPr/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R$ 180.000</w:t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R$ 180.000</w:t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R$ 180.000</w:t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R$ 180.000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Administrativo</w:t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R$ 108.000</w:t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R$ 108.000</w:t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R$ 108.000</w:t>
            </w:r>
          </w:p>
        </w:tc>
        <w:tc>
          <w:tcPr/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R$ 108.000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Assessoria Jurídica</w:t>
            </w:r>
          </w:p>
        </w:tc>
        <w:tc>
          <w:tcPr/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R$ 72.000</w:t>
            </w:r>
          </w:p>
        </w:tc>
        <w:tc>
          <w:tcPr/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R$ 72.000</w:t>
            </w:r>
          </w:p>
        </w:tc>
        <w:tc>
          <w:tcPr/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R$ 72.000</w:t>
            </w:r>
          </w:p>
        </w:tc>
        <w:tc>
          <w:tcPr/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R$ 72.000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Total de custos com equipe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R$ 924.000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R$ 1.254.000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R$ 1.854.000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Os custos anuais foram estimados considerando remuneração, encargos trabalhistas, benefícios e eventuais custos indiretos. A expansão da equipe acompanha o crescimento da carteira de clientes e da complexidade operacional, evitando estrutura excessiva nos primeiros anos e preservando a escalabilidade característica do modelo SaaS.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Demais custos operacionais </w:t>
      </w:r>
    </w:p>
    <w:tbl>
      <w:tblPr>
        <w:tblStyle w:val="Table2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0"/>
        <w:gridCol w:w="1770"/>
        <w:gridCol w:w="1500"/>
        <w:gridCol w:w="1395"/>
        <w:tblGridChange w:id="0">
          <w:tblGrid>
            <w:gridCol w:w="4560"/>
            <w:gridCol w:w="1770"/>
            <w:gridCol w:w="1500"/>
            <w:gridCol w:w="1395"/>
          </w:tblGrid>
        </w:tblGridChange>
      </w:tblGrid>
      <w:tr>
        <w:trPr>
          <w:cantSplit w:val="0"/>
          <w:trHeight w:val="496.60791015624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Ano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Ano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jc w:val="center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Ano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Infraestrutura (Cloud, banco de dados, monitoramento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R$ 90.000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R$ 132.000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R$ 180.000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Comercial (eventos, feiras e prospecção B2B)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R$ 100.000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Licenças de software, ferramentas e despesas administrativas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R$ 48.000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R$ 104.000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R$ 228.000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Total demais custos operacionais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R$ 238.000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R$ 336.000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2"/>
                <w:szCs w:val="22"/>
                <w:rtl w:val="0"/>
              </w:rPr>
              <w:t xml:space="preserve">R$ 508.000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Os demais custos operacionais foram projetados considerando uma combinação de despesas fixas e variáveis necessárias para sustentar a operação da plataforma. A parcela fixa contempla infraestrutura em nuvem, ferramentas de desenvolvimento, licenças de software, monitoramento, serviços administrativos e investimentos anuais em ações comerciais, como participação em feiras, eventos do setor hoteleiro e prospecção de novos clientes.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O crescimento desses custos ao longo dos três primeiros anos ocorre principalmente devido ao aumento da utilização da infraestrutura tecnológica à medida que novos hotéis são incorporados à plataforma. Além disso, parte das despesas administrativas e das ações comerciais acompanha a expansão da operação, resultando em uma evolução de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R$ 238 mil no primeiro ano para R$ 336 mil no segundo e R$ 408 mil no terceiro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, mantendo um crescimento significativamente inferior ao da receita. Essa característica reforça a escalabilidade do modelo SaaS, em que a expansão da base de clientes não exige um aumento proporcional dos custos operacionais.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Sendo assim, somando os valores dos custos com pessoal mais os demais custos operacionais, chegamos nos seguintes custos anuais totais: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  <w:t xml:space="preserve">Ano 1: R$1.162.000</w:t>
        <w:br w:type="textWrapping"/>
        <w:t xml:space="preserve">Ano 2: R$1.590.000</w:t>
        <w:br w:type="textWrapping"/>
        <w:t xml:space="preserve">Ano 3: R$2.262.000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4 Indicadores Financeiros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 sustentabilidade financeira foi analisada utilizando indicadores tradicionais de empresas SaaS.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Adotou-se uma permanência média de 15 meses por cliente, resultando em LTV de R$112.500 (R$7.500 × 15). O CAC foi estimado em aproximadamente R$24.000 por cliente, considerando investimentos comerciais e parte da equipe de vendas e dividindo esse valor por aquisições de clientes necessárias por ano. Dessa forma, a relação LTV/CAC alcança 4,7, indicando boa eficiência econômica do processo comercial. Vale destacar que quanto o CAC é baixo por se tratar de um mercado novo e pouco explorado. Ao longo dos anos a tendência é o CAC subir gradativamente.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Ao final do terceiro ano, o MRR projetado é de R$250.000, equivalente a ARR de R$3.000.000. O EBITDA estimado é de R$738.000, representando margem EBITDA de 24,6%.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Considerando o investimento inicial de R$2,553 milhões, o período de desenvolvimento (Ano 0), os dois primeiros anos deficitários e a geração de caixa prevista a partir do terceiro ano, estima-se um payback aproximado de 6,5 anos. Esse resultado é compatível com empresas SaaS em estágio inicial e demonstra a viabilidade econômica do modelo de negócio proposto.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Tabela de fluxo de Caixa Projetado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945"/>
        <w:gridCol w:w="915"/>
        <w:gridCol w:w="915"/>
        <w:gridCol w:w="930"/>
        <w:gridCol w:w="915"/>
        <w:gridCol w:w="945"/>
        <w:gridCol w:w="945"/>
        <w:gridCol w:w="975"/>
        <w:tblGridChange w:id="0">
          <w:tblGrid>
            <w:gridCol w:w="1500"/>
            <w:gridCol w:w="945"/>
            <w:gridCol w:w="915"/>
            <w:gridCol w:w="915"/>
            <w:gridCol w:w="930"/>
            <w:gridCol w:w="915"/>
            <w:gridCol w:w="945"/>
            <w:gridCol w:w="945"/>
            <w:gridCol w:w="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de Caixa (R$ mil)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Receita Operacional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1.080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3.000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3.000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3.000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3.000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3.000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Custos Operacionais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(1.162)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(1.590)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(2.262)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(2.262)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(2.262)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(2.262)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(2.262)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Lucro / Prejuízo do Exercício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Investimento Inicial (CAPEX)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Reserva de Contingência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Capital de Giro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Caixa Livre para Distribuição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Retorno Acumulado ao Investidor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(2.553)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(2.553)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(2.553)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(1.815)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(1.077)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(339)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1.137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