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/>
        <w:spacing w:after="0" w:before="0" w:line="1800"/>
      </w:pPr>
      <w:r>
        <w:rPr>
          <w:rFonts w:ascii="Arial" w:cs="Arial" w:eastAsia="Arial" w:hAnsi="Arial"/>
          <w:color w:val="1B2A4A"/>
        </w:rPr>
        <w:t xml:space="preserve"/>
      </w:r>
    </w:p>
    <w:p>
      <w:pPr>
        <w:shd w:fill="1B2A4A"/>
        <w:spacing w:after="12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caycer.ing</w:t>
      </w:r>
    </w:p>
    <w:p>
      <w:pPr>
        <w:shd w:fill="1B2A4A"/>
        <w:spacing w:after="100"/>
        <w:jc w:val="center"/>
      </w:pPr>
      <w:r>
        <w:rPr>
          <w:rFonts w:ascii="Arial" w:cs="Arial" w:eastAsia="Arial" w:hAnsi="Arial"/>
          <w:color w:val="93C5FD"/>
          <w:sz w:val="36"/>
          <w:szCs w:val="36"/>
        </w:rPr>
        <w:t xml:space="preserve">Auditoría SEO / GEO / AEO</w:t>
      </w:r>
    </w:p>
    <w:p>
      <w:pPr>
        <w:shd w:fill="1B2A4A"/>
        <w:spacing w:after="1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AUDITORÍA COMPLETA · DESPUÉS DE LOS BLOQUES 2 Y 3</w:t>
      </w:r>
    </w:p>
    <w:p>
      <w:pPr>
        <w:shd w:fill="1B2A4A"/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27/30 · antes 25/30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Fuerte · antes 9/10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Fuerte · antes 8/10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6A34A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Fuerte · antes 8/10</w:t>
            </w:r>
          </w:p>
        </w:tc>
      </w:tr>
    </w:tbl>
    <w:p>
      <w:pPr>
        <w:shd w:fill="1B2A4A"/>
        <w:spacing w:after="0" w:before="0" w:line="1600"/>
      </w:pPr>
      <w:r>
        <w:rPr>
          <w:rFonts w:ascii="Arial" w:cs="Arial" w:eastAsia="Arial" w:hAnsi="Arial"/>
          <w:color w:val="1B2A4A"/>
        </w:rPr>
        <w:t xml:space="preserve"/>
      </w:r>
    </w:p>
    <w:p>
      <w:pPr>
        <w:shd w:fill="1B2A4A"/>
        <w:spacing w:after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6 de agosto de 2026</w:t>
      </w:r>
    </w:p>
    <w:p>
      <w:pPr>
        <w:shd w:fill="1B2A4A"/>
        <w:spacing w:after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CAYCER Ingeniería y Metrología · Verificado en producción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FF6FF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caycer.ing consolida el terreno ganado en julio y suma dos puntos: pasa de 25/30 a 27/30. La base técnica sigue intacta —las 16 páginas indexables responden 200, el HTML del servidor entrega el contenido completo sin ejecutar JavaScript, y cada página tiene título, descripción, canonical y datos estructurados propios—.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 que movió la aguja fue contenido y entidad. El sitio pasó de 13 a 22 URLs en el sitemap, estrenó un blog técnico con dos artículos de más de 1,400 palabras cada uno, y sumó veinte encabezados en forma de pregunta con respuesta directa, que es el formato que los motores generativos citan. La identidad de marca se reforzó de un perfil social declarado a cuatro, y se publicaron seis documentos oficiales descargables con URL estable y título interno.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techo ahora no es técnico. Lo que separa a este sitio del 30/30 es autoría humana: no hay una sola persona con nombre y credenciales firmando el contenido, y sin eso la señal de experiencia queda en el aire. A eso se suman dos correcciones de forma —seis títulos que Google trunca y ocho descripciones fuera de rango— y la ausencia total de prueba social.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Conclusión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Fuerte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Rastreable e indexable por completo. Frena la longitud de títulos y descripciones, y dos páginas sin datos estructurados.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Fuerte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Entidad sólida y densidad factual alta. Falta autoría con nombre y prueba social.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9/10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Fuerte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Veinte preguntas nuevas con respuesta directa y dos tablas. Falta HowTo en el proceso DQ-IQ-OQ-PQ.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Combinado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27/30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antes 25/30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Mejora de dos puntos en tres semanas.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Alcance y método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 rastrearon las 16 páginas indexables del sitio, obteniendo el HTML crudo tal como lo entrega el servidor a un rastreador, sin ejecutar JavaScript. De cada página se extrajeron título, descripción, canonical, etiquetas Open Graph, jerarquía de encabezados, conteo de palabras, atributos alt, enlaces internos y datos estructurados.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Dos correcciones estaban pendientes de desplegar al momento de la auditoría y no se cuentan como hallazgos: las redirecciones 301 de las URL antiguas de los PDFs, y la zona horaria en las fechas de los datos estructurados del video.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se evaluaron Core Web Vitals, velocidad real de carga ni perfil de enlaces entrantes: requieren herramientas fuera del alcance de esta auditoría. Para Core Web Vitals, ejecute un informe en pagespeed.web.dev.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Páginas auditadas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Inicio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Título 59 car., descripción 150. WebSite + ProfessionalService con NAP real y 4 perfiles sociales.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/servicios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 servicios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Título 67 car. (se trunca). Sin datos estructurados.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/catalogo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Catálogo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Descripción de 90 car., corta. CollectionPage. 16 imágenes, todas con alt.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/nosotros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Descripción 198 car., se corta. AboutPage. Sin personas con nombre.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/contacto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216 palabras y ningún H2/H3. Sin datos estructurados.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/servicios/calificacion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Servicio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Título 82 car. y descripción 216: ambos se truncan. BreadcrumbList.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/servicios/calibracion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Servicio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Título 72 car., descripción 228. La descripción usa "garantizar".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/servicios/validacion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Servicio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Título 66 car., descripción 202.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/sectores/farmaceutico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Descripción de 71 car.: desaprovecha la mitad del espacio. Service + BreadcrumbList.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/sectores/alimenticio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Descripción de 61 car., la más corta del sitio.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/sectores/quimico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Descripción de 68 car. Título 47, el más corto.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/sectores/hospitalario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Sector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Descripción de 65 car.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/blog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Índice del blog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Nuevo. Blog schema con las dos entradas listadas.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/blog/mapeo-termico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Artículo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Nuevo. 1,408 palabras, 10 encabezados en pregunta, tabla de rangos, video. Título 97 car.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/blog/cadena-de-frio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Artículo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Nuevo. 1,535 palabras, 10 encabezados en pregunta, tabla de 7 filas. Título 98 car.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/preguntas-frecuentes</w:t>
            </w:r>
          </w:p>
        </w:tc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1,106 palabras, 18 preguntas, FAQPage schema. La página mejor optimizada para AEO.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Análisis SEO — 9/10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Técnica en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Códigos HTTP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16 páginas responden 200. El sitemap declara 22 URLs, incluidos los seis PDFs oficiales.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Títulos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Seis de 16 rebasan los 60 caracteres: calificación (82), calibración (72), validación (66), servicios (67) y los dos artículos (97 y 98). Google los trunca.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Descripciones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Ocho fuera del rango óptimo: cuatro de sector entre 61 y 71 caracteres, y cuatro entre 198 y 228 que se cortan al mostrarse.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Duplicados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Ningún título ni descripción repetidos. Cada página tiene canonical propio y bien formado.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Jerarquía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Exactamente un H1 por página en las 16. Sin saltos de nivel salvo en catálogo, que pasa de H1 a H3.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Imágenes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47 imágenes tienen atributo alt. Las decorativas usan alt vacío, que es lo correcto.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Open Graph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16 páginas declaran og:title, og:description, og:image y twitter:card.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Permite el rastreo completo y apunta al sitemap. Sin bloqueos accidentales.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Calidad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Extensión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artículos del blog superan las 1,400 palabras y la FAQ las 1,100. Contacto se queda en 216 y las páginas de sector rondan las 330.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Frescura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Dos artículos fechados en julio y agosto de 2026, con fecha visible y marcada en los datos estructurados. Es la señal que faltaba en la auditoría anterior.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Legibilidad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Subtítulos frecuentes, listas y tablas. Los artículos alternan párrafos cortos con viñetas.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Lenguaje de marca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palabra "garantía" aparece en cinco lugares pese a que la guía de contenido del proyecto la prohíbe y pide "respaldo".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Datos estructurados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Cobertura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 de 16 páginas tienen JSON-LD válido. Faltan /servicios y /contacto.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Tipos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WebSite, ProfessionalService, AboutPage, CollectionPage, Blog, Article, Service, FAQPage y BreadcrumbList. Cobertura amplia y adecuada al tipo de página.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Entidad única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artículos referencian la organización por identificador en vez de declararla de nuevo, evitando entidades que compitan entre sí.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Contacto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página de contacto no declara ContactPage ni repite los datos de la organización.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Análisis GEO — 9/10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Experiencia, pericia, autoridad y confianza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Autoría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Ningún contenido está firmado por una persona. El autor declarado es la organización, no un profesional con nombre y credenciales. Es el mayor hueco del sitio.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Página institucional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/nosotros existe con AboutPage schema, misión, visión y pilares, pero sin equipo ni responsables técnicos identificados.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Credenciales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Tres acreditaciones EMA y tres aprobaciones federales, con los seis documentos oficiales descargables y con título interno correcto.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Datos de contacto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Dirección, dos teléfonos, WhatsApp y dos correos, visibles y coincidentes con los datos estructurados.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Prueba social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testimonios, sin logos de clientes, sin casos de éxito. Cero señales de terceros en todo el sitio.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Contenido para síntesis por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Densidad factual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Rangos numéricos exactos por tipo de equipo, códigos de acreditación y normas con nomenclatura completa. Material altamente citable.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Claridad de afirmaciones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artículo abre con una definición directa en las primeras 40 palabras, y cada sección hace lo mismo bajo su encabezado.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Citas externas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contenido no enlaza a ema.org.mx, CENAM ni a las fuentes normativas que menciona.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Punto de vista propio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artículos aportan criterio propio, como la distinción entre monitorear y validar. No hay datos originales ni estudios propios.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Claridad de entidad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nombre "CAYCER Ingeniería y Metrología" aparece consistentemente, con alternateName declarado y cuatro perfiles sociales enlazados.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GEO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Rastreabilidad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 completo sin JavaScript, sin bloqueos en robots.txt. Los rastreadores de IA acceden a todo el contenido.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Seguridad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en todo el sitio.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Grafo de entidad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sameAs con Facebook, Instagram, TikTok y YouTube. Pasó de un perfil a cuatro desde la auditoría anterior.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Análisis AEO — 9/10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Elegibilidad para fragmentos destacados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Respuestas directas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38 encabezados en forma de pregunta en el sitio, cada uno con respuesta de 40 a 60 palabras en el primer párrafo.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Definiciones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artículos y la FAQ abren con el patrón "X es…", que es el que Google extrae para definiciones.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Tablas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Dos tablas comparativas: rangos por equipo en cadena de frío y alcances acreditados en mapeo térmico.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Listas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Pasos numerados en el expediente de auditoría y en los momentos para hacer un mapeo.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Formatos de respuesta estructurada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FAQPage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 preguntas marcadas correctamente en /preguntas-frecuentes.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HowTo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proceso DQ-IQ-OQ-PQ y el expediente de cadena de frío son secuencias de pasos sin marcar con HowTo.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Speakable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 marcado Speakable para búsqueda por voz.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Preguntas en servicios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páginas de servicio tienen entre uno y dos encabezados en pregunta; las de sector, uno cada una. El blog concentra el formato.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Atención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Preparación para búsqueda por voz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Lenguaje conversacional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artículos usan preguntas naturales, del tipo que alguien formularía en voz alta.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Cola larga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Cubiertas preguntas específicas sobre duración, rangos, diferencias entre servicios y requisitos normativos.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Señales locales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NAP completo, coordenadas, horario y área servida en los datos estructurados.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Bien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Recomendaciones por prioridad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60"/>
        <w:gridCol w:w="1000"/>
        <w:gridCol w:w="1200"/>
        <w:gridCol w:w="1200"/>
      </w:tblGrid>
      <w:tr>
        <w:trPr>
          <w:tblHeader/>
        </w:trP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2A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262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Ningún contenido está firmado por una persona con nombre, cargo y credenciales. El autor declarado es la organización.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Seis títulos rebasan los 60 caracteres y Google los trunca: los dos artículos del blog (97 y 98) y cuatro páginas de servicio.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Cero prueba social en todo el sitio: sin testimonios, sin logos de clientes, sin casos.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Ocho descripciones fuera de rango: cuatro de sector entre 61 y 71 caracteres, y cuatro de más de 198 que se cortan.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contenido no cita ni enlaza fuentes externas de autoridad como ema.org.mx o CENAM.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/servicios y /contacto no tienen datos estructurados de ningún tipo.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proceso DQ-IQ-OQ-PQ es una secuencia de pasos y no está marcado con HowTo schema.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Medio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/contacto tiene 216 palabras y ningún subtítulo; es la página más delgada del sitio.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Rápido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palabra "garantía" aparece en cinco lugares, contra la regla de marca del propio proyecto y es una promesa legalmente incómoda.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Rápido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Cinco imágenes PNG de entre 635 y 814 KB siguen en inicio y servicios; en WebP bajarían a una sexta parte.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Bajo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6A34A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Rápido</w:t>
            </w:r>
          </w:p>
        </w:tc>
        <w:tc>
          <w:tcPr>
            <w:tcW w:type="dxa" w:w="4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dos de los cuatro pilares del blog están publicados; faltan calificación de equipos y normativa FEUM.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Lo que está funcionando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Renderizado sin JavaScript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16 páginas entregan el contenido completo en el HTML del servidor. Los artículos del blog se leen enteros con JavaScript desactivado, requisito de los rastreadores de IA.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Cero títulos o descripciones duplicados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16 páginas tienen título, descripción y canonical únicos. Ninguna canonical mal formada, ninguna página sin og:image.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Densidad factual verificable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Números de acreditación, rangos exactos por equipo (-80 a 50 °C según el caso), normas citadas con nomenclatura completa y seis PDFs oficiales descargables.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Precisión normativa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contenido distingue explícitamente que los requisitos provienen del Suplemento de la FEUM y no de COFEPRIS, y cita el Suplemento sin inventar numeral.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Entidad de marca coherente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Cuatro perfiles sociales declarados en sameAs, NAP real e idéntico entre el pie de página y los datos estructurados, y nombre de marca consistente en las 16 páginas.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Formato orientado a respuestas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38 encabezados en forma de pregunta en el sitio, con respuesta directa al inicio. Dos tablas comparativas candidatas a fragmento destacado.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Accesibilidad de imágenes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47 imágenes del sitio tienen atributo alt. Ninguna quedó sin describir.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Enlazado interno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dos artículos se enlazan entre sí y hacia servicios y sectores, distribuyendo autoridad hacia las páginas comerciales.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Glosario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 — Optimización para buscadores. El trabajo que hace que Google encuentre, entienda y clasifique las páginas de un sitio: velocidad, estructura, etiquetas y calidad del contenido.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— Optimización para motores generativos. Busca que herramientas como ChatGPT, Perplexity o Gemini citen el sitio como fuente al redactar una respuesta. Premia la autoridad demostrable, los datos concretos y la claridad de la entidad.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 — Optimización para motores de respuesta. Apunta a los fragmentos destacados, las cajas de "otras preguntas" y la búsqueda por voz, donde el buscador necesita extraer una respuesta directa y breve.</w:t>
      </w:r>
    </w:p>
    <w:p>
      <w:pPr>
        <w:spacing w:after="120" w:before="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E-E-A-T — Experiencia, pericia, autoridad y confianza. El marco con el que Google evalúa la credibilidad de quien publica, especialmente en temas donde una información errónea puede causar daño.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6 de agosto de 2026 · CAYCER Ingeniería y Metrología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9360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caycer.ing</w:t>
    </w:r>
    <w:r>
      <w:rPr>
        <w:rFonts w:ascii="Arial" w:cs="Arial" w:eastAsia="Arial" w:hAnsi="Arial"/>
        <w:color w:val="1E293B"/>
        <w:sz w:val="18"/>
        <w:szCs w:val="18"/>
      </w:rPr>
      <w:t xml:space="preserve">	Auditoría SEO / GEO / AEO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2026-08-06T16:35:06.779Z</dcterms:created>
  <dcterms:modified xsi:type="dcterms:W3CDTF">2026-08-06T16:35:06.781Z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