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2A4A" w:val="clear"/>
        <w:spacing w:after="400" w:before="150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 </w:t>
      </w:r>
    </w:p>
    <w:p>
      <w:pPr>
        <w:shd w:fill="1B2A4A" w:val="clear"/>
        <w:spacing w:after="60"/>
        <w:jc w:val="center"/>
      </w:pPr>
      <w:r>
        <w:rPr>
          <w:rFonts w:ascii="Arial" w:cs="Arial" w:eastAsia="Arial" w:hAnsi="Arial"/>
          <w:b/>
          <w:bCs/>
          <w:color w:val="FFFFFF"/>
          <w:sz w:val="76"/>
          <w:szCs w:val="76"/>
        </w:rPr>
        <w:t xml:space="preserve">CAYCER</w:t>
      </w:r>
    </w:p>
    <w:p>
      <w:pPr>
        <w:shd w:fill="1B2A4A" w:val="clear"/>
        <w:spacing w:after="360"/>
        <w:jc w:val="center"/>
      </w:pPr>
      <w:r>
        <w:rPr>
          <w:rFonts w:ascii="Arial" w:cs="Arial" w:eastAsia="Arial" w:hAnsi="Arial"/>
          <w:color w:val="93C5FD"/>
          <w:sz w:val="26"/>
          <w:szCs w:val="26"/>
        </w:rPr>
        <w:t xml:space="preserve">Ingeniería y Metrología</w:t>
      </w:r>
    </w:p>
    <w:p>
      <w:pPr>
        <w:shd w:fill="1B2A4A" w:val="clear"/>
        <w:spacing w:after="140"/>
        <w:jc w:val="center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Resumen Ejecutivo</w:t>
      </w:r>
    </w:p>
    <w:p>
      <w:pPr>
        <w:shd w:fill="1B2A4A" w:val="clear"/>
        <w:spacing w:after="340"/>
        <w:jc w:val="center"/>
      </w:pPr>
      <w:r>
        <w:rPr>
          <w:rFonts w:ascii="Arial" w:cs="Arial" w:eastAsia="Arial" w:hAnsi="Arial"/>
          <w:color w:val="93C5FD"/>
          <w:sz w:val="22"/>
          <w:szCs w:val="22"/>
        </w:rPr>
        <w:t xml:space="preserve">Auditoría y optimización · SEO / GEO / AEO</w:t>
      </w:r>
    </w:p>
    <w:p>
      <w:pPr>
        <w:shd w:fill="1B2A4A" w:val="clear"/>
        <w:spacing w:after="40"/>
        <w:jc w:val="center"/>
      </w:pPr>
      <w:r>
        <w:rPr>
          <w:rFonts w:ascii="Arial" w:cs="Arial" w:eastAsia="Arial" w:hAnsi="Arial"/>
          <w:b/>
          <w:bCs/>
          <w:color w:val="16A34A"/>
          <w:sz w:val="30"/>
          <w:szCs w:val="30"/>
        </w:rPr>
        <w:t xml:space="preserve">Resultado global:  25/30</w:t>
      </w:r>
    </w:p>
    <w:p>
      <w:pPr>
        <w:shd w:fill="1B2A4A" w:val="clear"/>
        <w:spacing w:after="36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(punto de partida: 8/30)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none" w:color="FFFFFF" w:sz="0"/>
              <w:left w:val="single" w:color="1B2A4A" w:sz="24"/>
              <w:bottom w:val="none" w:color="FFFFFF" w:sz="0"/>
              <w:right w:val="single" w:color="1B2A4A" w:sz="24"/>
            </w:tcBorders>
            <w:shd w:fill="16A34A" w:val="clear"/>
            <w:tcMar>
              <w:top w:type="dxa" w:w="240"/>
              <w:left w:type="dxa" w:w="80"/>
              <w:bottom w:type="dxa" w:w="2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SEO</w:t>
            </w:r>
          </w:p>
          <w:p>
            <w:pPr>
              <w:spacing w:after="3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9/10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antes 3/10</w:t>
            </w:r>
          </w:p>
        </w:tc>
        <w:tc>
          <w:tcPr>
            <w:tcBorders>
              <w:top w:val="none" w:color="FFFFFF" w:sz="0"/>
              <w:left w:val="single" w:color="1B2A4A" w:sz="24"/>
              <w:bottom w:val="none" w:color="FFFFFF" w:sz="0"/>
              <w:right w:val="single" w:color="1B2A4A" w:sz="24"/>
            </w:tcBorders>
            <w:shd w:fill="16A34A" w:val="clear"/>
            <w:tcMar>
              <w:top w:type="dxa" w:w="240"/>
              <w:left w:type="dxa" w:w="80"/>
              <w:bottom w:type="dxa" w:w="2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GEO</w:t>
            </w:r>
          </w:p>
          <w:p>
            <w:pPr>
              <w:spacing w:after="3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8/10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antes 3/10</w:t>
            </w:r>
          </w:p>
        </w:tc>
        <w:tc>
          <w:tcPr>
            <w:tcBorders>
              <w:top w:val="none" w:color="FFFFFF" w:sz="0"/>
              <w:left w:val="single" w:color="1B2A4A" w:sz="24"/>
              <w:bottom w:val="none" w:color="FFFFFF" w:sz="0"/>
              <w:right w:val="single" w:color="1B2A4A" w:sz="24"/>
            </w:tcBorders>
            <w:shd w:fill="16A34A" w:val="clear"/>
            <w:tcMar>
              <w:top w:type="dxa" w:w="240"/>
              <w:left w:type="dxa" w:w="80"/>
              <w:bottom w:type="dxa" w:w="2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AEO</w:t>
            </w:r>
          </w:p>
          <w:p>
            <w:pPr>
              <w:spacing w:after="3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8/10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antes 2/10</w:t>
            </w:r>
          </w:p>
        </w:tc>
      </w:tr>
    </w:tbl>
    <w:p>
      <w:pPr>
        <w:shd w:fill="1B2A4A" w:val="clear"/>
        <w:spacing w:after="200" w:before="130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 </w:t>
      </w:r>
    </w:p>
    <w:p>
      <w:pPr>
        <w:shd w:fill="1B2A4A" w:val="clear"/>
        <w:spacing w:after="90"/>
        <w:jc w:val="center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Preparado para: Carlos — CAYCER</w:t>
      </w:r>
    </w:p>
    <w:p>
      <w:pPr>
        <w:shd w:fill="1B2A4A" w:val="clear"/>
        <w:spacing w:after="9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Sitio auditado: caycer.ing  ·  Julio de 2026</w:t>
      </w:r>
    </w:p>
    <w:p>
      <w:pPr>
        <w:shd w:fill="1B2A4A" w:val="clear"/>
        <w:spacing w:after="100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Verificado en producción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20" w:before="360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En una página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El sitio caycer.ing partía de una situación crítica: prácticamente invisible para Google y para los nuevos buscadores con inteligencia artificial. En pocos días de trabajo se corrigió la raíz de cada problema y se construyó nuevo contenido pensado para posicionar. El resultado: la calificación global pasó de 8/30 a 25/30, con el sitio ya rastreable, indexable y con contenido citable por IA, todo verificado en producción.</w:t>
            </w:r>
          </w:p>
        </w:tc>
      </w:tr>
    </w:tbl>
    <w:p>
      <w:pPr>
        <w:spacing w:after="24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El punto de partida</w:t>
      </w:r>
    </w:p>
    <w:p>
      <w:pPr>
        <w:spacing w:after="100"/>
        <w:ind w:left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El 86 % de las páginas del sitio devolvía "error 404" al abrirse directamente: para Google era como si no existieran.</w:t>
      </w:r>
    </w:p>
    <w:p>
      <w:pPr>
        <w:spacing w:after="100"/>
        <w:ind w:left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Todo el contenido dependía de que el navegador ejecutara código; los buscadores con IA (ChatGPT, Perplexity, Copilot) veían una página en blanco.</w:t>
      </w:r>
    </w:p>
    <w:p>
      <w:pPr>
        <w:spacing w:after="100"/>
        <w:ind w:left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Los datos del negocio en el sitio estaban equivocados: apuntaban a otra ciudad (Querétaro) y a un dominio distinto.</w:t>
      </w:r>
    </w:p>
    <w:p>
      <w:pPr>
        <w:spacing w:after="20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Lo que se hizo</w:t>
      </w:r>
    </w:p>
    <w:p>
      <w:pPr>
        <w:spacing w:after="100"/>
        <w:ind w:left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Fase 0 — Correcciones críticas: se eliminaron los errores 404, se corrigió el dominio y los datos de contacto reales (Tlaquepaque).</w:t>
      </w:r>
    </w:p>
    <w:p>
      <w:pPr>
        <w:spacing w:after="100"/>
        <w:ind w:left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Fase 1 — Visibilidad: el sitio ahora entrega su contenido completo a Google y a los buscadores con IA, sin depender del navegador.</w:t>
      </w:r>
    </w:p>
    <w:p>
      <w:pPr>
        <w:spacing w:after="100"/>
        <w:ind w:left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Fase 2 — Contenido: nueva sección de Preguntas Frecuentes, páginas por sector (farmacéutico, alimenticio, químico, hospitalario), página "Nosotros" y tabla de acreditaciones EMA.</w:t>
      </w:r>
    </w:p>
    <w:p>
      <w:pPr>
        <w:spacing w:after="100"/>
        <w:ind w:left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Alta en Google Search Console con el mapa del sitio aceptado.</w:t>
      </w:r>
    </w:p>
    <w:p>
      <w:pPr>
        <w:spacing w:after="20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Los resultados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Dimensión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Inicio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Ahora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3/10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9/10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Qué tan bien encuentra e indexa Google el sitio. Hoy todas las páginas son rastreables.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GEO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3/10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8/10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Qué tan visible y citable es el sitio para buscadores con IA (ChatGPT, Perplexity, Copilot).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AEO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2/10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8/10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Qué tan preparado está para respuestas directas y preguntas frecuentes en buscadores y voz.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Global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8/30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25/30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 avance de +17 puntos. El tramo final depende de publicar contenido con constancia.</w:t>
            </w:r>
          </w:p>
        </w:tc>
      </w:tr>
    </w:tbl>
    <w:p>
      <w:pPr>
        <w:spacing w:after="24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Qué sigue</w:t>
      </w:r>
    </w:p>
    <w:p>
      <w:pPr>
        <w:spacing w:after="100"/>
        <w:ind w:left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Completar el perfil de Google Business (Google Maps) — en proceso.</w:t>
      </w:r>
    </w:p>
    <w:p>
      <w:pPr>
        <w:spacing w:after="100"/>
        <w:ind w:left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Alta en Bing Webmaster (alimenta a Copilot y ChatGPT Search).</w:t>
      </w:r>
    </w:p>
    <w:p>
      <w:pPr>
        <w:spacing w:after="100"/>
        <w:ind w:left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Fase 3: blog técnico aprovechando el contenido que CAYCER ya produce para redes, más reseñas y enlaces. Es lo que lleva la calificación al 10/10 y consolida la presencia en el tiempo.</w:t>
      </w:r>
    </w:p>
    <w:p>
      <w:pPr>
        <w:spacing w:after="200"/>
      </w:pPr>
    </w:p>
    <w:p>
      <w:pPr>
        <w:spacing w:after="160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Nota: las calificaciones reflejan el estado técnico y de contenido verificado en julio de 2026. La traducción a más visitas y a apariciones en buscadores toma algunas semanas y se dará seguimiento en Google Search Console.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tabs>
        <w:tab w:val="right" w:pos="9360"/>
      </w:tabs>
      <w:spacing w:before="120"/>
    </w:pPr>
    <w:r>
      <w:rPr>
        <w:rFonts w:ascii="Arial" w:cs="Arial" w:eastAsia="Arial" w:hAnsi="Arial"/>
        <w:color w:val="94A3B8"/>
        <w:sz w:val="16"/>
        <w:szCs w:val="16"/>
      </w:rPr>
      <w:t xml:space="preserve">Reporte de auditoría y optimización SEO / GEO / AEO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8"/>
      </w:pBdr>
      <w:tabs>
        <w:tab w:val="right" w:pos="9360"/>
      </w:tabs>
      <w:spacing w:after="120"/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CAYCER · caycer.ing</w:t>
    </w:r>
    <w:r>
      <w:rPr>
        <w:rFonts w:ascii="Arial" w:cs="Arial" w:eastAsia="Arial" w:hAnsi="Arial"/>
        <w:color w:val="94A3B8"/>
        <w:sz w:val="18"/>
        <w:szCs w:val="18"/>
      </w:rPr>
      <w:t xml:space="preserve">	Resumen Ejecutivo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2026-07-15T19:11:20.592Z</dcterms:created>
  <dcterms:modified xsi:type="dcterms:W3CDTF">2026-07-15T19:11:20.594Z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