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Skill-Link Project Report</w:t>
      </w:r>
    </w:p>
    <w:p>
      <w:pPr>
        <w:pStyle w:val="Heading1"/>
      </w:pPr>
      <w:r>
        <w:t>Executive Summary</w:t>
      </w:r>
    </w:p>
    <w:p>
      <w:r>
        <w:t>The Skill-Link initiative is a vocational and digital skills empowerment program aimed at equipping youth and women with employable and entrepreneurial skills. This report outlines the progress and financial expenditures of the Skill-Link project over a six-month implementation period.</w:t>
      </w:r>
    </w:p>
    <w:p>
      <w:pPr>
        <w:pStyle w:val="Heading1"/>
      </w:pPr>
      <w:r>
        <w:t>Program Overview</w:t>
      </w:r>
    </w:p>
    <w:p>
      <w:r>
        <w:t>Skill-Link was launched to address youth unemployment by providing targeted training in key sectors such as ICT, tailoring, carpentry, agriculture, and business development. The program was implemented in both urban and rural communities, reaching a total of 500 participants.</w:t>
      </w:r>
    </w:p>
    <w:p>
      <w:pPr>
        <w:pStyle w:val="Heading1"/>
      </w:pPr>
      <w:r>
        <w:t>Objectives</w:t>
      </w:r>
    </w:p>
    <w:p>
      <w:r>
        <w:t>The key objectives of the Skill-Link initiative were:</w:t>
      </w:r>
    </w:p>
    <w:p>
      <w:pPr>
        <w:pStyle w:val="ListBullet"/>
      </w:pPr>
      <w:r>
        <w:t>- To provide vocational training to 500 youths and women.</w:t>
      </w:r>
    </w:p>
    <w:p>
      <w:pPr>
        <w:pStyle w:val="ListBullet"/>
      </w:pPr>
      <w:r>
        <w:t>- To enhance entrepreneurial capabilities of trainees.</w:t>
      </w:r>
    </w:p>
    <w:p>
      <w:pPr>
        <w:pStyle w:val="ListBullet"/>
      </w:pPr>
      <w:r>
        <w:t>- To facilitate employment and self-employment opportunities.</w:t>
      </w:r>
    </w:p>
    <w:p>
      <w:pPr>
        <w:pStyle w:val="Heading1"/>
      </w:pPr>
      <w:r>
        <w:t>Activities Implemented</w:t>
      </w:r>
    </w:p>
    <w:p>
      <w:r>
        <w:t>Throughout the reporting period, Skill-Link carried out the following key activities:</w:t>
      </w:r>
    </w:p>
    <w:p>
      <w:pPr>
        <w:pStyle w:val="ListBullet"/>
      </w:pPr>
      <w:r>
        <w:t>- Community mobilization and participant selection</w:t>
      </w:r>
    </w:p>
    <w:p>
      <w:pPr>
        <w:pStyle w:val="ListBullet"/>
      </w:pPr>
      <w:r>
        <w:t>- Training of trainers (ToT) workshops</w:t>
      </w:r>
    </w:p>
    <w:p>
      <w:pPr>
        <w:pStyle w:val="ListBullet"/>
      </w:pPr>
      <w:r>
        <w:t>- Vocational training sessions</w:t>
      </w:r>
    </w:p>
    <w:p>
      <w:pPr>
        <w:pStyle w:val="ListBullet"/>
      </w:pPr>
      <w:r>
        <w:t>- Distribution of starter kits</w:t>
      </w:r>
    </w:p>
    <w:p>
      <w:pPr>
        <w:pStyle w:val="ListBullet"/>
      </w:pPr>
      <w:r>
        <w:t>- Monitoring and mentorship of trainees</w:t>
      </w:r>
    </w:p>
    <w:p>
      <w:pPr>
        <w:pStyle w:val="Heading1"/>
      </w:pPr>
      <w:r>
        <w:t>Expenditure Breakdown</w:t>
      </w:r>
    </w:p>
    <w:p>
      <w:r>
        <w:t>The table below summarizes the expenditures incurred during the implementation period:</w:t>
      </w:r>
    </w:p>
    <w:tbl>
      <w:tblPr>
        <w:tblStyle w:val="TableGrid"/>
        <w:tblW w:type="auto" w:w="0"/>
        <w:tblLook w:firstColumn="1" w:firstRow="1" w:lastColumn="0" w:lastRow="0" w:noHBand="0" w:noVBand="1" w:val="04A0"/>
      </w:tblPr>
      <w:tblGrid>
        <w:gridCol w:w="2880"/>
        <w:gridCol w:w="2880"/>
        <w:gridCol w:w="2880"/>
      </w:tblGrid>
      <w:tr>
        <w:tc>
          <w:tcPr>
            <w:tcW w:type="dxa" w:w="2880"/>
          </w:tcPr>
          <w:p>
            <w:r>
              <w:t>Expenditure Category</w:t>
            </w:r>
          </w:p>
        </w:tc>
        <w:tc>
          <w:tcPr>
            <w:tcW w:type="dxa" w:w="2880"/>
          </w:tcPr>
          <w:p>
            <w:r>
              <w:t>Amount (USD)</w:t>
            </w:r>
          </w:p>
        </w:tc>
        <w:tc>
          <w:tcPr>
            <w:tcW w:type="dxa" w:w="2880"/>
          </w:tcPr>
          <w:p>
            <w:r>
              <w:t>Remarks</w:t>
            </w:r>
          </w:p>
        </w:tc>
      </w:tr>
      <w:tr>
        <w:tc>
          <w:tcPr>
            <w:tcW w:type="dxa" w:w="2880"/>
          </w:tcPr>
          <w:p>
            <w:r>
              <w:t>Training Materials</w:t>
            </w:r>
          </w:p>
        </w:tc>
        <w:tc>
          <w:tcPr>
            <w:tcW w:type="dxa" w:w="2880"/>
          </w:tcPr>
          <w:p>
            <w:r>
              <w:t>10,000</w:t>
            </w:r>
          </w:p>
        </w:tc>
        <w:tc>
          <w:tcPr>
            <w:tcW w:type="dxa" w:w="2880"/>
          </w:tcPr>
          <w:p>
            <w:r>
              <w:t>Books, handouts, tools</w:t>
            </w:r>
          </w:p>
        </w:tc>
      </w:tr>
      <w:tr>
        <w:tc>
          <w:tcPr>
            <w:tcW w:type="dxa" w:w="2880"/>
          </w:tcPr>
          <w:p>
            <w:r>
              <w:t>Trainers’ Fees</w:t>
            </w:r>
          </w:p>
        </w:tc>
        <w:tc>
          <w:tcPr>
            <w:tcW w:type="dxa" w:w="2880"/>
          </w:tcPr>
          <w:p>
            <w:r>
              <w:t>15,000</w:t>
            </w:r>
          </w:p>
        </w:tc>
        <w:tc>
          <w:tcPr>
            <w:tcW w:type="dxa" w:w="2880"/>
          </w:tcPr>
          <w:p>
            <w:r>
              <w:t>Honorarium for trainers</w:t>
            </w:r>
          </w:p>
        </w:tc>
      </w:tr>
      <w:tr>
        <w:tc>
          <w:tcPr>
            <w:tcW w:type="dxa" w:w="2880"/>
          </w:tcPr>
          <w:p>
            <w:r>
              <w:t>Venue and Logistics</w:t>
            </w:r>
          </w:p>
        </w:tc>
        <w:tc>
          <w:tcPr>
            <w:tcW w:type="dxa" w:w="2880"/>
          </w:tcPr>
          <w:p>
            <w:r>
              <w:t>5,000</w:t>
            </w:r>
          </w:p>
        </w:tc>
        <w:tc>
          <w:tcPr>
            <w:tcW w:type="dxa" w:w="2880"/>
          </w:tcPr>
          <w:p>
            <w:r>
              <w:t>Rental and setup</w:t>
            </w:r>
          </w:p>
        </w:tc>
      </w:tr>
      <w:tr>
        <w:tc>
          <w:tcPr>
            <w:tcW w:type="dxa" w:w="2880"/>
          </w:tcPr>
          <w:p>
            <w:r>
              <w:t>Starter Kits</w:t>
            </w:r>
          </w:p>
        </w:tc>
        <w:tc>
          <w:tcPr>
            <w:tcW w:type="dxa" w:w="2880"/>
          </w:tcPr>
          <w:p>
            <w:r>
              <w:t>12,000</w:t>
            </w:r>
          </w:p>
        </w:tc>
        <w:tc>
          <w:tcPr>
            <w:tcW w:type="dxa" w:w="2880"/>
          </w:tcPr>
          <w:p>
            <w:r>
              <w:t>Toolkits for graduates</w:t>
            </w:r>
          </w:p>
        </w:tc>
      </w:tr>
      <w:tr>
        <w:tc>
          <w:tcPr>
            <w:tcW w:type="dxa" w:w="2880"/>
          </w:tcPr>
          <w:p>
            <w:r>
              <w:t>Monitoring &amp; Evaluation</w:t>
            </w:r>
          </w:p>
        </w:tc>
        <w:tc>
          <w:tcPr>
            <w:tcW w:type="dxa" w:w="2880"/>
          </w:tcPr>
          <w:p>
            <w:r>
              <w:t>3,000</w:t>
            </w:r>
          </w:p>
        </w:tc>
        <w:tc>
          <w:tcPr>
            <w:tcW w:type="dxa" w:w="2880"/>
          </w:tcPr>
          <w:p>
            <w:r>
              <w:t>Field visits and assessments</w:t>
            </w:r>
          </w:p>
        </w:tc>
      </w:tr>
      <w:tr>
        <w:tc>
          <w:tcPr>
            <w:tcW w:type="dxa" w:w="2880"/>
          </w:tcPr>
          <w:p>
            <w:r>
              <w:t>Administrative Costs</w:t>
            </w:r>
          </w:p>
        </w:tc>
        <w:tc>
          <w:tcPr>
            <w:tcW w:type="dxa" w:w="2880"/>
          </w:tcPr>
          <w:p>
            <w:r>
              <w:t>2,500</w:t>
            </w:r>
          </w:p>
        </w:tc>
        <w:tc>
          <w:tcPr>
            <w:tcW w:type="dxa" w:w="2880"/>
          </w:tcPr>
          <w:p>
            <w:r>
              <w:t>Coordination, office supplies</w:t>
            </w:r>
          </w:p>
        </w:tc>
      </w:tr>
      <w:tr>
        <w:tc>
          <w:tcPr>
            <w:tcW w:type="dxa" w:w="2880"/>
          </w:tcPr>
          <w:p>
            <w:r>
              <w:t>Contingency</w:t>
            </w:r>
          </w:p>
        </w:tc>
        <w:tc>
          <w:tcPr>
            <w:tcW w:type="dxa" w:w="2880"/>
          </w:tcPr>
          <w:p>
            <w:r>
              <w:t>2,000</w:t>
            </w:r>
          </w:p>
        </w:tc>
        <w:tc>
          <w:tcPr>
            <w:tcW w:type="dxa" w:w="2880"/>
          </w:tcPr>
          <w:p>
            <w:r>
              <w:t>Unexpected expenses</w:t>
            </w:r>
          </w:p>
        </w:tc>
      </w:tr>
    </w:tbl>
    <w:p>
      <w:pPr>
        <w:pStyle w:val="Heading1"/>
      </w:pPr>
      <w:r>
        <w:t>Conclusion &amp; Recommendations</w:t>
      </w:r>
    </w:p>
    <w:p>
      <w:r>
        <w:t>The Skill-Link project has successfully met its objectives by empowering participants with market-relevant skills. Going forward, we recommend scaling the project to additional regions, enhancing digital training modules, and fostering partnerships with local businesses for job placement.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