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SkillLink Financial Strategy Document</w:t>
      </w:r>
    </w:p>
    <w:p>
      <w:pPr>
        <w:pStyle w:val="Heading1"/>
      </w:pPr>
      <w:r>
        <w:t>Introduction</w:t>
      </w:r>
    </w:p>
    <w:p>
      <w:r>
        <w:t>This financial strategy outlines the revenue model, cost structure, funding plan, and long-term financial goals for SkillLink. Our goal is to ensure sustainable growth while delivering maximum value to users, providers, and investors.</w:t>
      </w:r>
    </w:p>
    <w:p>
      <w:pPr>
        <w:pStyle w:val="Heading1"/>
      </w:pPr>
      <w:r>
        <w:t>Revenue Model</w:t>
      </w:r>
    </w:p>
    <w:p>
      <w:r>
        <w:t>SkillLink’s revenue streams include:</w:t>
        <w:br/>
        <w:t>- Service Commission Fees: 10–20% on every transaction.</w:t>
        <w:br/>
        <w:t>- Subscription Packages: Premium provider subscriptions for enhanced visibility.</w:t>
        <w:br/>
        <w:t>- Advertisements: Local business ads on platform.</w:t>
        <w:br/>
        <w:t>- Training Programs: Paid professional training and certification.</w:t>
        <w:br/>
        <w:t>- Strategic Partnerships: Revenue sharing with affiliated institutions.</w:t>
      </w:r>
    </w:p>
    <w:p>
      <w:pPr>
        <w:pStyle w:val="Heading1"/>
      </w:pPr>
      <w:r>
        <w:t>Cost Structure</w:t>
      </w:r>
    </w:p>
    <w:p>
      <w:r>
        <w:t>Key cost areas:</w:t>
        <w:br/>
        <w:t>- Platform Development &amp; Maintenance: Infrastructure, dev team, security.</w:t>
        <w:br/>
        <w:t>- Marketing &amp; Customer Acquisition: Digital campaigns, local outreach.</w:t>
        <w:br/>
        <w:t>- Operations: Staff salaries, logistics, customer service.</w:t>
        <w:br/>
        <w:t>- Legal &amp; Compliance: Licenses, data protection, regulatory alignment.</w:t>
        <w:br/>
        <w:t>- Provider Support &amp; Training: Onboarding, workshops, upskilling initiatives.</w:t>
      </w:r>
    </w:p>
    <w:p>
      <w:pPr>
        <w:pStyle w:val="Heading1"/>
      </w:pPr>
      <w:r>
        <w:t>Funding Plan</w:t>
      </w:r>
    </w:p>
    <w:p>
      <w:r>
        <w:t>Initial funding requirement: $35,000 (~₦52.5 million).</w:t>
        <w:br/>
        <w:t>Use of Funds:</w:t>
        <w:br/>
        <w:t>- 43% Platform Development</w:t>
        <w:br/>
        <w:t>- 29% Marketing &amp; Brand Building</w:t>
        <w:br/>
        <w:t>- 14% Operations &amp; Staff</w:t>
        <w:br/>
        <w:t>- 7% Legal &amp; Compliance</w:t>
        <w:br/>
        <w:t>- 7% Training &amp; Development</w:t>
        <w:br/>
        <w:br/>
        <w:t>We are seeking equity investment, grants, or convertible debt to fund initial rollout and growth.</w:t>
      </w:r>
    </w:p>
    <w:p>
      <w:pPr>
        <w:pStyle w:val="Heading1"/>
      </w:pPr>
      <w:r>
        <w:t>Financial Goals (5-Year Outlook)</w:t>
      </w:r>
    </w:p>
    <w:p>
      <w:r>
        <w:t>- Year 1: Market entry, breakeven point within 12–16 months.</w:t>
        <w:br/>
        <w:t>- Year 2–3: Expansion to major cities across Nigeria, 50,000+ users.</w:t>
        <w:br/>
        <w:t>- Year 4: Regional expansion into 2 other African countries.</w:t>
        <w:br/>
        <w:t>- Year 5: Platform valuation target of $5M+ through user growth and partner ecosystem.</w:t>
      </w:r>
    </w:p>
    <w:p>
      <w:pPr>
        <w:pStyle w:val="Heading1"/>
      </w:pPr>
      <w:r>
        <w:t>Risk Management</w:t>
      </w:r>
    </w:p>
    <w:p>
      <w:r>
        <w:t>Key financial risks include market adoption delays, regulatory hurdles, and operational overheads. Mitigation strategies include lean operations, diversified income streams, adaptive pricing, and compliance support.</w:t>
      </w:r>
    </w:p>
    <w:p>
      <w:pPr>
        <w:pStyle w:val="Heading1"/>
      </w:pPr>
      <w:r>
        <w:t>Conclusion</w:t>
      </w:r>
    </w:p>
    <w:p>
      <w:r>
        <w:t>SkillLink is financially structured for scalability and sustainability. Our multi-pronged revenue approach, clear cost management, and strategic funding needs position us for long-term growth and impact.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