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Experiência Prática 2 – Documento Modelo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1. Identificação do Projeto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Nome do Projeto:   </w:t>
      </w:r>
      <w:r>
        <w:rPr>
          <w:rFonts w:cs="Arial" w:ascii="Arial" w:hAnsi="Arial"/>
          <w:b/>
          <w:bCs/>
          <w:color w:val="000000"/>
        </w:rPr>
        <w:t>Sistema de Gestão de Vendas e Estoque de Peças de carros da Loja AquiCarro.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2. Descrição do Minimundo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ab/>
        <w:t>Modelar a venda de peças para clientes, a requisição da loja para o estoque, a retirada da peça do estoque e a reposição do estoque.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3. Entregáveis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3.1. Diagrama Entidade-Relacionamento (DER)</w:t>
      </w:r>
    </w:p>
    <w:p>
      <w:pPr>
        <w:pStyle w:val="ListParagraph"/>
        <w:widowControl/>
        <w:suppressAutoHyphens w:val="true"/>
        <w:bidi w:val="0"/>
        <w:spacing w:lineRule="auto" w:line="360" w:before="0" w:after="0"/>
        <w:ind w:hanging="1134" w:left="1134" w:right="0"/>
        <w:contextualSpacing/>
        <w:jc w:val="both"/>
        <w:rPr/>
      </w:pPr>
      <w:r>
        <w:rPr/>
      </w:r>
    </w:p>
    <w:p>
      <w:pPr>
        <w:pStyle w:val="ListParagraph"/>
        <w:widowControl/>
        <w:suppressAutoHyphens w:val="true"/>
        <w:bidi w:val="0"/>
        <w:spacing w:lineRule="auto" w:line="360" w:before="0" w:after="0"/>
        <w:ind w:hanging="1134" w:left="1134" w:right="0"/>
        <w:contextualSpacing/>
        <w:jc w:val="both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662430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widowControl/>
        <w:suppressAutoHyphens w:val="true"/>
        <w:bidi w:val="0"/>
        <w:spacing w:lineRule="auto" w:line="360" w:before="0" w:after="0"/>
        <w:ind w:hanging="1134" w:left="1134" w:right="0"/>
        <w:contextualSpacing/>
        <w:jc w:val="both"/>
        <w:rPr>
          <w:rFonts w:ascii="arial" w:hAnsi="arial"/>
        </w:rPr>
      </w:pPr>
      <w:permStart w:id="1139501841" w:edGrp="everyone_Copia_1"/>
      <w:r>
        <w:rPr>
          <w:rFonts w:ascii="arial" w:hAnsi="arial"/>
        </w:rPr>
        <w:t>Imagem 1: Modelo ER sem zoom.</w:t>
      </w:r>
      <w:permEnd w:id="1139501841"/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799590"/>
            <wp:effectExtent l="0" t="0" r="0" b="0"/>
            <wp:wrapSquare wrapText="largest"/>
            <wp:docPr id="2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</w:rPr>
        <w:t>Imagem 2: Foto da parte esquerda do modelo ER com zoom.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437765"/>
            <wp:effectExtent l="0" t="0" r="0" b="0"/>
            <wp:wrapSquare wrapText="largest"/>
            <wp:docPr id="3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</w:rPr>
        <w:t>Imagem 3: Foto da parte direita do modelo ER com zoom.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3.2. Detalhamento dos Elementos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contextualSpacing/>
        <w:jc w:val="both"/>
        <w:rPr>
          <w:color w:val="000000"/>
        </w:rPr>
      </w:pPr>
      <w:r>
        <w:rPr>
          <w:rFonts w:cs="Arial" w:ascii="Arial" w:hAnsi="Arial"/>
          <w:b/>
          <w:bCs/>
          <w:color w:val="000000"/>
        </w:rPr>
        <w:t>Cliente: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color w:val="000000"/>
        </w:rPr>
      </w:pPr>
      <w:r>
        <w:rPr>
          <w:rFonts w:cs="Arial" w:ascii="Arial" w:hAnsi="Arial"/>
          <w:color w:val="000000"/>
        </w:rPr>
        <w:t>CPF (</w:t>
      </w:r>
      <w:r>
        <w:rPr>
          <w:rFonts w:cs="Arial" w:ascii="Arial" w:hAnsi="Arial"/>
          <w:color w:val="000000"/>
        </w:rPr>
        <w:t>C</w:t>
      </w:r>
      <w:r>
        <w:rPr>
          <w:rFonts w:cs="Arial" w:ascii="Arial" w:hAnsi="Arial"/>
          <w:color w:val="000000"/>
        </w:rPr>
        <w:t>have-primária)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color w:val="000000"/>
        </w:rPr>
      </w:pPr>
      <w:r>
        <w:rPr>
          <w:rFonts w:cs="Arial" w:ascii="Arial" w:hAnsi="Arial"/>
          <w:color w:val="000000"/>
        </w:rPr>
        <w:t>Data de Nascimento (Simples)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color w:val="000000"/>
        </w:rPr>
      </w:pPr>
      <w:r>
        <w:rPr>
          <w:rFonts w:cs="Arial" w:ascii="Arial" w:hAnsi="Arial"/>
          <w:color w:val="000000"/>
        </w:rPr>
        <w:t xml:space="preserve">Primeiro </w:t>
      </w:r>
      <w:r>
        <w:rPr>
          <w:rFonts w:cs="Arial" w:ascii="Arial" w:hAnsi="Arial"/>
          <w:color w:val="000000"/>
        </w:rPr>
        <w:t>Nome (Simples)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color w:val="000000"/>
        </w:rPr>
      </w:pPr>
      <w:r>
        <w:rPr/>
        <w:t>Ú</w:t>
      </w:r>
      <w:r>
        <w:rPr/>
        <w:t>ltimo Nome (Simples)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color w:val="000000"/>
        </w:rPr>
      </w:pPr>
      <w:r>
        <w:rPr>
          <w:rFonts w:cs="Arial" w:ascii="Arial" w:hAnsi="Arial"/>
          <w:color w:val="000000"/>
        </w:rPr>
        <w:t>Endereço (Composto)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color w:val="000000"/>
        </w:rPr>
      </w:pPr>
      <w:r>
        <w:rPr>
          <w:rFonts w:cs="Arial" w:ascii="Arial" w:hAnsi="Arial"/>
          <w:color w:val="000000"/>
        </w:rPr>
        <w:t>E-mail (Multivalorado)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color w:val="000000"/>
        </w:rPr>
      </w:pPr>
      <w:r>
        <w:rPr>
          <w:rFonts w:cs="Arial" w:ascii="Arial" w:hAnsi="Arial"/>
          <w:color w:val="000000"/>
        </w:rPr>
        <w:t>Telefone (Multivalorado)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contextualSpacing/>
        <w:jc w:val="both"/>
        <w:rPr>
          <w:color w:val="000000"/>
        </w:rPr>
      </w:pPr>
      <w:r>
        <w:rPr>
          <w:rFonts w:cs="Arial" w:ascii="Arial" w:hAnsi="Arial"/>
          <w:b/>
          <w:bCs/>
          <w:color w:val="000000"/>
        </w:rPr>
        <w:t>Venda: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color w:val="000000"/>
        </w:rPr>
      </w:pPr>
      <w:r>
        <w:rPr>
          <w:rFonts w:cs="Arial" w:ascii="Arial" w:hAnsi="Arial"/>
          <w:color w:val="000000"/>
        </w:rPr>
        <w:t>Valor (Simples)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color w:val="000000"/>
        </w:rPr>
      </w:pPr>
      <w:r>
        <w:rPr>
          <w:rFonts w:cs="Arial" w:ascii="Arial" w:hAnsi="Arial"/>
          <w:color w:val="000000"/>
        </w:rPr>
        <w:t>Descrição (Simples)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color w:val="000000"/>
        </w:rPr>
      </w:pPr>
      <w:r>
        <w:rPr>
          <w:rFonts w:cs="Arial" w:ascii="Arial" w:hAnsi="Arial"/>
          <w:color w:val="000000"/>
        </w:rPr>
        <w:t>Id da Venda (Chave-primária)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color w:val="000000"/>
        </w:rPr>
      </w:pPr>
      <w:r>
        <w:rPr>
          <w:rFonts w:cs="Arial" w:ascii="Arial" w:hAnsi="Arial"/>
          <w:color w:val="000000"/>
        </w:rPr>
        <w:t>Horário (Simples)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color w:val="000000"/>
        </w:rPr>
      </w:pPr>
      <w:r>
        <w:rPr>
          <w:rFonts w:cs="Arial" w:ascii="Arial" w:hAnsi="Arial"/>
          <w:color w:val="000000"/>
        </w:rPr>
        <w:t>Lucro (Derivado)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contextualSpacing/>
        <w:jc w:val="both"/>
        <w:rPr>
          <w:color w:val="000000"/>
        </w:rPr>
      </w:pPr>
      <w:r>
        <w:rPr>
          <w:rFonts w:cs="Arial" w:ascii="Arial" w:hAnsi="Arial"/>
          <w:b/>
          <w:bCs/>
          <w:color w:val="000000"/>
        </w:rPr>
        <w:t>Vendedor: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color w:val="000000"/>
        </w:rPr>
      </w:pPr>
      <w:r>
        <w:rPr>
          <w:rFonts w:cs="Arial" w:ascii="Arial" w:hAnsi="Arial"/>
          <w:color w:val="000000"/>
        </w:rPr>
        <w:t>CPF do vendedor (Chave-primária)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color w:val="000000"/>
        </w:rPr>
      </w:pPr>
      <w:r>
        <w:rPr>
          <w:rFonts w:cs="Arial" w:ascii="Arial" w:hAnsi="Arial"/>
          <w:color w:val="000000"/>
        </w:rPr>
        <w:t>Nome do Vendedor (Simples)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color w:val="000000"/>
        </w:rPr>
      </w:pPr>
      <w:r>
        <w:rPr>
          <w:rFonts w:cs="Arial" w:ascii="Arial" w:hAnsi="Arial"/>
          <w:color w:val="000000"/>
        </w:rPr>
        <w:t>Comissão (Derivado)</w:t>
      </w:r>
    </w:p>
    <w:p>
      <w:pPr>
        <w:pStyle w:val="ListParagraph"/>
        <w:numPr>
          <w:ilvl w:val="0"/>
          <w:numId w:val="1"/>
        </w:numPr>
        <w:rPr/>
      </w:pPr>
      <w:r>
        <w:rPr>
          <w:rFonts w:cs="Arial" w:ascii="Arial" w:hAnsi="Arial"/>
          <w:b/>
          <w:bCs/>
          <w:color w:val="000000"/>
        </w:rPr>
        <w:t>Peça:</w:t>
        <w:tab/>
        <w:tab/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color w:val="000000"/>
        </w:rPr>
      </w:pPr>
      <w:r>
        <w:rPr>
          <w:rFonts w:cs="Arial" w:ascii="Arial" w:hAnsi="Arial"/>
          <w:color w:val="000000"/>
        </w:rPr>
        <w:t>Id Peça (Chave-primária)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color w:val="000000"/>
        </w:rPr>
      </w:pPr>
      <w:r>
        <w:rPr>
          <w:rFonts w:cs="Arial" w:ascii="Arial" w:hAnsi="Arial"/>
          <w:color w:val="000000"/>
        </w:rPr>
        <w:t>Nome da Peça (Simples)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color w:val="000000"/>
        </w:rPr>
      </w:pPr>
      <w:r>
        <w:rPr>
          <w:rFonts w:cs="Arial" w:ascii="Arial" w:hAnsi="Arial"/>
          <w:color w:val="000000"/>
        </w:rPr>
        <w:t>Fotos (Multivalorado)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color w:val="000000"/>
        </w:rPr>
      </w:pPr>
      <w:r>
        <w:rPr>
          <w:rFonts w:cs="Arial" w:ascii="Arial" w:hAnsi="Arial"/>
          <w:color w:val="000000"/>
        </w:rPr>
        <w:t>Vídeo Demonstrativo (Não-estruturado)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b w:val="false"/>
          <w:bCs w:val="false"/>
          <w:color w:val="000000"/>
        </w:rPr>
      </w:pPr>
      <w:r>
        <w:rPr>
          <w:rFonts w:cs="Arial" w:ascii="Arial" w:hAnsi="Arial"/>
          <w:b w:val="false"/>
          <w:bCs w:val="false"/>
          <w:color w:val="000000"/>
        </w:rPr>
        <w:t>Preço (Simples)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b w:val="false"/>
          <w:bCs w:val="false"/>
          <w:color w:val="000000"/>
        </w:rPr>
      </w:pPr>
      <w:r>
        <w:rPr>
          <w:rFonts w:cs="Arial" w:ascii="Arial" w:hAnsi="Arial"/>
          <w:b w:val="false"/>
          <w:bCs w:val="false"/>
          <w:color w:val="000000"/>
        </w:rPr>
        <w:t>Descrição Técnica (Não-estruturado)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b w:val="false"/>
          <w:bCs w:val="false"/>
          <w:color w:val="000000"/>
        </w:rPr>
      </w:pPr>
      <w:r>
        <w:rPr>
          <w:rFonts w:cs="Arial" w:ascii="Arial" w:hAnsi="Arial"/>
          <w:b w:val="false"/>
          <w:bCs w:val="false"/>
          <w:color w:val="000000"/>
        </w:rPr>
        <w:t>Guia de Instalação (Não-estruturado)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b w:val="false"/>
          <w:bCs w:val="false"/>
          <w:color w:val="000000"/>
        </w:rPr>
      </w:pPr>
      <w:r>
        <w:rPr>
          <w:rFonts w:cs="Arial" w:ascii="Arial" w:hAnsi="Arial"/>
          <w:b w:val="false"/>
          <w:bCs w:val="false"/>
          <w:color w:val="000000"/>
        </w:rPr>
        <w:t>Manual de Instrução (Não-estruturado)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Áudio com Explicações Técnicas </w:t>
      </w:r>
      <w:r>
        <w:rPr>
          <w:rFonts w:cs="Arial" w:ascii="Arial" w:hAnsi="Arial"/>
          <w:b w:val="false"/>
          <w:bCs w:val="false"/>
          <w:color w:val="000000"/>
        </w:rPr>
        <w:t>(Não-estruturado)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b w:val="false"/>
          <w:bCs w:val="false"/>
          <w:color w:val="000000"/>
        </w:rPr>
      </w:pPr>
      <w:r>
        <w:rPr>
          <w:rFonts w:cs="Arial" w:ascii="Arial" w:hAnsi="Arial"/>
          <w:b w:val="false"/>
          <w:bCs w:val="false"/>
          <w:color w:val="000000"/>
        </w:rPr>
        <w:t>Compatibilidade com Outras Peças (Não-estruturado)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b w:val="false"/>
          <w:bCs w:val="false"/>
          <w:color w:val="000000"/>
        </w:rPr>
      </w:pPr>
      <w:r>
        <w:rPr>
          <w:rFonts w:cs="Arial" w:ascii="Arial" w:hAnsi="Arial"/>
          <w:b w:val="false"/>
          <w:bCs w:val="false"/>
          <w:color w:val="000000"/>
        </w:rPr>
        <w:t>Vídeo Demonstrativo (Não-estruturado)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b w:val="false"/>
          <w:bCs w:val="false"/>
          <w:color w:val="000000"/>
        </w:rPr>
      </w:pPr>
      <w:r>
        <w:rPr>
          <w:rFonts w:cs="Arial" w:ascii="Arial" w:hAnsi="Arial"/>
          <w:b w:val="false"/>
          <w:bCs w:val="false"/>
          <w:color w:val="000000"/>
        </w:rPr>
        <w:t>Alertas e Precauções de Instalação (Não-estruturado)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b w:val="false"/>
          <w:bCs w:val="false"/>
          <w:color w:val="000000"/>
        </w:rPr>
      </w:pPr>
      <w:r>
        <w:rPr>
          <w:rFonts w:cs="Arial" w:ascii="Arial" w:hAnsi="Arial"/>
          <w:b w:val="false"/>
          <w:bCs w:val="false"/>
          <w:color w:val="000000"/>
        </w:rPr>
        <w:t>Lucro (Derivado)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b w:val="false"/>
          <w:bCs w:val="false"/>
          <w:color w:val="000000"/>
        </w:rPr>
      </w:pPr>
      <w:r>
        <w:rPr>
          <w:rFonts w:cs="Arial" w:ascii="Arial" w:hAnsi="Arial"/>
          <w:b w:val="false"/>
          <w:bCs w:val="false"/>
          <w:color w:val="000000"/>
        </w:rPr>
        <w:t>Certificado de Garantia (Não-estruturado)</w:t>
      </w:r>
    </w:p>
    <w:p>
      <w:pPr>
        <w:pStyle w:val="ListParagraph"/>
        <w:numPr>
          <w:ilvl w:val="0"/>
          <w:numId w:val="0"/>
        </w:numPr>
        <w:suppressAutoHyphens w:val="true"/>
        <w:spacing w:lineRule="auto" w:line="360" w:before="0" w:after="0"/>
        <w:ind w:hanging="0" w:left="1134"/>
        <w:contextualSpacing/>
        <w:jc w:val="both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contextualSpacing/>
        <w:jc w:val="both"/>
        <w:rPr>
          <w:color w:val="000000"/>
        </w:rPr>
      </w:pPr>
      <w:r>
        <w:rPr>
          <w:rFonts w:cs="Arial" w:ascii="Arial" w:hAnsi="Arial"/>
          <w:b/>
          <w:bCs/>
          <w:color w:val="000000"/>
        </w:rPr>
        <w:t>Estoque: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color w:val="000000"/>
        </w:rPr>
      </w:pPr>
      <w:r>
        <w:rPr>
          <w:color w:val="000000"/>
        </w:rPr>
        <w:t>Fabricante da peça (Simples)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color w:val="000000"/>
        </w:rPr>
      </w:pPr>
      <w:r>
        <w:rPr>
          <w:color w:val="000000"/>
        </w:rPr>
        <w:t>Quantidade da peça (Simples)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color w:val="000000"/>
        </w:rPr>
      </w:pPr>
      <w:r>
        <w:rPr>
          <w:color w:val="000000"/>
        </w:rPr>
        <w:t>Localização da Peça (Simples)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color w:val="000000"/>
        </w:rPr>
      </w:pPr>
      <w:r>
        <w:rPr>
          <w:color w:val="000000"/>
        </w:rPr>
        <w:t>Data de Entrada (Simples)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color w:val="000000"/>
        </w:rPr>
      </w:pPr>
      <w:r>
        <w:rPr>
          <w:color w:val="000000"/>
        </w:rPr>
        <w:t>Data de Saída (Simples)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contextualSpacing/>
        <w:jc w:val="both"/>
        <w:rPr>
          <w:color w:val="000000"/>
        </w:rPr>
      </w:pPr>
      <w:r>
        <w:rPr>
          <w:rFonts w:cs="Arial" w:ascii="Arial" w:hAnsi="Arial"/>
          <w:b/>
          <w:bCs/>
          <w:color w:val="000000"/>
        </w:rPr>
        <w:t>Compra: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color w:val="000000"/>
        </w:rPr>
      </w:pPr>
      <w:r>
        <w:rPr>
          <w:color w:val="000000"/>
        </w:rPr>
        <w:t>Id da compra (Chave-primária)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color w:val="000000"/>
        </w:rPr>
      </w:pPr>
      <w:r>
        <w:rPr>
          <w:color w:val="000000"/>
        </w:rPr>
        <w:t>Fornecedor (Simples)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contextualSpacing/>
        <w:jc w:val="both"/>
        <w:rPr>
          <w:color w:val="000000"/>
        </w:rPr>
      </w:pPr>
      <w:r>
        <w:rPr>
          <w:rFonts w:cs="Arial" w:ascii="Arial" w:hAnsi="Arial"/>
          <w:b/>
          <w:bCs/>
          <w:color w:val="000000"/>
        </w:rPr>
        <w:t>Fornecedor: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color w:val="000000"/>
        </w:rPr>
      </w:pPr>
      <w:r>
        <w:rPr>
          <w:color w:val="000000"/>
        </w:rPr>
        <w:t>CNPJ</w:t>
      </w:r>
      <w:r>
        <w:rPr>
          <w:color w:val="000000"/>
        </w:rPr>
        <w:t xml:space="preserve"> (Chave-primária)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color w:val="000000"/>
        </w:rPr>
      </w:pPr>
      <w:r>
        <w:rPr>
          <w:color w:val="000000"/>
        </w:rPr>
        <w:t>Preço da compra (Simples)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color w:val="000000"/>
        </w:rPr>
      </w:pPr>
      <w:r>
        <w:rPr>
          <w:color w:val="000000"/>
        </w:rPr>
        <w:t xml:space="preserve">Nome do Fornecedor </w:t>
      </w:r>
      <w:r>
        <w:rPr>
          <w:color w:val="000000"/>
        </w:rPr>
        <w:t>(Simples)</w:t>
      </w:r>
    </w:p>
    <w:p>
      <w:pPr>
        <w:pStyle w:val="Normal"/>
        <w:suppressAutoHyphens w:val="true"/>
        <w:spacing w:lineRule="auto" w:line="360" w:before="0" w:after="0"/>
        <w:rPr>
          <w:color w:val="000000"/>
        </w:rPr>
      </w:pPr>
      <w:r>
        <w:rPr>
          <w:rFonts w:cs="Arial" w:ascii="Arial" w:hAnsi="Arial"/>
          <w:b/>
          <w:bCs/>
          <w:color w:val="000000"/>
        </w:rPr>
        <w:t>Relacionamentos e Cardinalidades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contextualSpacing/>
        <w:jc w:val="both"/>
        <w:rPr>
          <w:color w:val="000000"/>
        </w:rPr>
      </w:pPr>
      <w:r>
        <w:rPr>
          <w:rFonts w:cs="Arial" w:ascii="Arial" w:hAnsi="Arial"/>
          <w:b/>
          <w:bCs/>
          <w:color w:val="000000"/>
        </w:rPr>
        <w:t>Realiza: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ind w:hanging="425" w:left="1134"/>
        <w:contextualSpacing/>
        <w:jc w:val="both"/>
        <w:rPr>
          <w:color w:val="000000"/>
        </w:rPr>
      </w:pPr>
      <w:r>
        <w:rPr>
          <w:rFonts w:cs="Arial" w:ascii="Arial" w:hAnsi="Arial"/>
          <w:b/>
          <w:bCs/>
          <w:color w:val="000000"/>
        </w:rPr>
        <w:t>Entidades Envolvidas:</w:t>
      </w:r>
      <w:r>
        <w:rPr>
          <w:rFonts w:cs="Arial" w:ascii="Arial" w:hAnsi="Arial"/>
          <w:color w:val="000000"/>
        </w:rPr>
        <w:t xml:space="preserve"> Cliente e Venda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ind w:hanging="425" w:left="1134"/>
        <w:contextualSpacing/>
        <w:jc w:val="both"/>
        <w:rPr>
          <w:color w:val="000000"/>
        </w:rPr>
      </w:pPr>
      <w:r>
        <w:rPr>
          <w:rFonts w:cs="Arial" w:ascii="Arial" w:hAnsi="Arial"/>
          <w:b/>
          <w:bCs/>
          <w:color w:val="000000"/>
        </w:rPr>
        <w:t>Cardinalidade:</w:t>
      </w:r>
      <w:r>
        <w:rPr>
          <w:rFonts w:cs="Arial" w:ascii="Arial" w:hAnsi="Arial"/>
          <w:color w:val="000000"/>
        </w:rPr>
        <w:t xml:space="preserve"> (1, N) Cliente, pois o Cliente tem de estar relacionado a uma Venda e pode estar relacionada a N Vendas. (1, 1) Vendas, pois é obrigatória uma Venda estar relacionada a apenas um Cliente.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contextualSpacing/>
        <w:jc w:val="both"/>
        <w:rPr>
          <w:color w:val="000000"/>
        </w:rPr>
      </w:pPr>
      <w:r>
        <w:rPr>
          <w:rFonts w:cs="Arial" w:ascii="Arial" w:hAnsi="Arial"/>
          <w:b/>
          <w:bCs/>
          <w:color w:val="000000"/>
        </w:rPr>
        <w:t>Faz: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ind w:hanging="425" w:left="1134"/>
        <w:contextualSpacing/>
        <w:jc w:val="both"/>
        <w:rPr>
          <w:color w:val="000000"/>
        </w:rPr>
      </w:pPr>
      <w:r>
        <w:rPr>
          <w:rFonts w:cs="Arial" w:ascii="Arial" w:hAnsi="Arial"/>
          <w:b/>
          <w:bCs/>
          <w:color w:val="000000"/>
        </w:rPr>
        <w:t>Entidades Envolvidas:</w:t>
      </w:r>
      <w:r>
        <w:rPr>
          <w:rFonts w:cs="Arial" w:ascii="Arial" w:hAnsi="Arial"/>
          <w:color w:val="000000"/>
        </w:rPr>
        <w:t xml:space="preserve"> Vendedor e Venda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ind w:hanging="425" w:left="1134"/>
        <w:contextualSpacing/>
        <w:jc w:val="both"/>
        <w:rPr>
          <w:color w:val="000000"/>
        </w:rPr>
      </w:pPr>
      <w:r>
        <w:rPr>
          <w:rFonts w:cs="Arial" w:ascii="Arial" w:hAnsi="Arial"/>
          <w:b/>
          <w:bCs/>
          <w:color w:val="000000"/>
        </w:rPr>
        <w:t>Cardinalidade:</w:t>
      </w:r>
      <w:r>
        <w:rPr>
          <w:rFonts w:cs="Arial" w:ascii="Arial" w:hAnsi="Arial"/>
          <w:color w:val="000000"/>
        </w:rPr>
        <w:t xml:space="preserve"> (0, N) Vendedor, pois um Vendedor não precisa estar relacionado com uma Venda e pode realizar N Vendas. (1, 1) Venda, porque uma venda precisa estar relacionada a um Vendedor e só pode estar relacionada a um deles.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contextualSpacing/>
        <w:jc w:val="both"/>
        <w:rPr>
          <w:color w:val="000000"/>
        </w:rPr>
      </w:pPr>
      <w:r>
        <w:rPr>
          <w:rFonts w:cs="Arial" w:ascii="Arial" w:hAnsi="Arial"/>
          <w:b/>
          <w:bCs/>
          <w:color w:val="000000"/>
        </w:rPr>
        <w:t>Comercializa: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ind w:hanging="425" w:left="1134"/>
        <w:contextualSpacing/>
        <w:jc w:val="both"/>
        <w:rPr>
          <w:color w:val="000000"/>
        </w:rPr>
      </w:pPr>
      <w:r>
        <w:rPr>
          <w:rFonts w:cs="Arial" w:ascii="Arial" w:hAnsi="Arial"/>
          <w:b/>
          <w:bCs/>
          <w:color w:val="000000"/>
        </w:rPr>
        <w:t>Entidades Envolvidas:</w:t>
      </w:r>
      <w:r>
        <w:rPr>
          <w:rFonts w:cs="Arial" w:ascii="Arial" w:hAnsi="Arial"/>
          <w:color w:val="000000"/>
        </w:rPr>
        <w:t xml:space="preserve"> Peça e Venda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ind w:hanging="425" w:left="1134"/>
        <w:contextualSpacing/>
        <w:jc w:val="both"/>
        <w:rPr>
          <w:color w:val="000000"/>
        </w:rPr>
      </w:pPr>
      <w:r>
        <w:rPr>
          <w:rFonts w:cs="Arial" w:ascii="Arial" w:hAnsi="Arial"/>
          <w:b/>
          <w:bCs/>
          <w:color w:val="000000"/>
        </w:rPr>
        <w:t>Cardinalidade:</w:t>
      </w:r>
      <w:r>
        <w:rPr>
          <w:rFonts w:cs="Arial" w:ascii="Arial" w:hAnsi="Arial"/>
          <w:color w:val="000000"/>
        </w:rPr>
        <w:t xml:space="preserve"> (0, 1) Peça, devido ao fato de que uma Peça não necessariamente precisa estar atrelada a uma venda e que uma Peça só pode estar relacionada a uma única Venda. (1, N) Venda, pois uma Venda deve estar relacionada com uma peça e ela pode estar relacionada com várias Peças.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contextualSpacing/>
        <w:jc w:val="both"/>
        <w:rPr>
          <w:color w:val="000000"/>
        </w:rPr>
      </w:pPr>
      <w:r>
        <w:rPr>
          <w:rFonts w:cs="Arial" w:ascii="Arial" w:hAnsi="Arial"/>
          <w:b/>
          <w:bCs/>
          <w:color w:val="000000"/>
        </w:rPr>
        <w:t>Contém: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ind w:hanging="425" w:left="1134"/>
        <w:contextualSpacing/>
        <w:jc w:val="both"/>
        <w:rPr>
          <w:color w:val="000000"/>
        </w:rPr>
      </w:pPr>
      <w:r>
        <w:rPr>
          <w:rFonts w:cs="Arial" w:ascii="Arial" w:hAnsi="Arial"/>
          <w:b/>
          <w:bCs/>
          <w:color w:val="000000"/>
        </w:rPr>
        <w:t>Entidades Envolvidas:</w:t>
      </w:r>
      <w:r>
        <w:rPr>
          <w:rFonts w:cs="Arial" w:ascii="Arial" w:hAnsi="Arial"/>
          <w:color w:val="000000"/>
        </w:rPr>
        <w:t xml:space="preserve"> Estoque e Peça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ind w:hanging="425" w:left="1134"/>
        <w:contextualSpacing/>
        <w:jc w:val="both"/>
        <w:rPr>
          <w:color w:val="000000"/>
        </w:rPr>
      </w:pPr>
      <w:r>
        <w:rPr>
          <w:rFonts w:cs="Arial" w:ascii="Arial" w:hAnsi="Arial"/>
          <w:b/>
          <w:bCs/>
          <w:color w:val="000000"/>
        </w:rPr>
        <w:t>Cardinalidade:</w:t>
      </w:r>
      <w:r>
        <w:rPr>
          <w:rFonts w:cs="Arial" w:ascii="Arial" w:hAnsi="Arial"/>
          <w:color w:val="000000"/>
        </w:rPr>
        <w:t xml:space="preserve"> (0, 1) Estoque, porque uma instância do Estoque pode estar vazia, ou seja, sem Peça; enquanto essa instância pode conter 1 Peça. Por sua vez, há a cardinalidade (0, 1) Peça, pois as peças podem existir sem estarem no Estoque e uma Peça só pode estar em um Estoque.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contextualSpacing/>
        <w:jc w:val="both"/>
        <w:rPr>
          <w:color w:val="000000"/>
        </w:rPr>
      </w:pPr>
      <w:r>
        <w:rPr>
          <w:rFonts w:cs="Arial" w:ascii="Arial" w:hAnsi="Arial"/>
          <w:b/>
          <w:bCs/>
          <w:color w:val="000000"/>
        </w:rPr>
        <w:t>Irá: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ind w:hanging="425" w:left="1134"/>
        <w:contextualSpacing/>
        <w:jc w:val="both"/>
        <w:rPr>
          <w:color w:val="000000"/>
        </w:rPr>
      </w:pPr>
      <w:r>
        <w:rPr>
          <w:rFonts w:cs="Arial" w:ascii="Arial" w:hAnsi="Arial"/>
          <w:b/>
          <w:bCs/>
          <w:color w:val="000000"/>
        </w:rPr>
        <w:t>Entidades Envolvidas:</w:t>
      </w:r>
      <w:r>
        <w:rPr>
          <w:rFonts w:cs="Arial" w:ascii="Arial" w:hAnsi="Arial"/>
          <w:color w:val="000000"/>
        </w:rPr>
        <w:t xml:space="preserve"> Estoque e Compra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ind w:hanging="425" w:left="1134"/>
        <w:contextualSpacing/>
        <w:jc w:val="both"/>
        <w:rPr>
          <w:color w:val="000000"/>
        </w:rPr>
      </w:pPr>
      <w:r>
        <w:rPr>
          <w:rFonts w:cs="Arial" w:ascii="Arial" w:hAnsi="Arial"/>
          <w:b/>
          <w:bCs/>
          <w:color w:val="000000"/>
        </w:rPr>
        <w:t>Cardinalidade:</w:t>
      </w:r>
      <w:r>
        <w:rPr>
          <w:rFonts w:cs="Arial" w:ascii="Arial" w:hAnsi="Arial"/>
          <w:color w:val="000000"/>
        </w:rPr>
        <w:t xml:space="preserve"> (0, 1) Estoque, pois uma instância do Estoque existe independentemente da Compra e essa instância pode estar associada a 1 Peça. (1, 1) Compra – Estoque, devido ao fato de que uma Compra tem de ir para o Estoque e só poderá estar em 1 instância do Estoque.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contextualSpacing/>
        <w:jc w:val="both"/>
        <w:rPr>
          <w:color w:val="000000"/>
        </w:rPr>
      </w:pPr>
      <w:r>
        <w:rPr>
          <w:rFonts w:cs="Arial" w:ascii="Arial" w:hAnsi="Arial"/>
          <w:b/>
          <w:bCs/>
          <w:color w:val="000000"/>
        </w:rPr>
        <w:t>Irá Repor: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ind w:hanging="425" w:left="1134"/>
        <w:contextualSpacing/>
        <w:jc w:val="both"/>
        <w:rPr>
          <w:color w:val="000000"/>
        </w:rPr>
      </w:pPr>
      <w:r>
        <w:rPr>
          <w:rFonts w:cs="Arial" w:ascii="Arial" w:hAnsi="Arial"/>
          <w:b/>
          <w:bCs/>
          <w:color w:val="000000"/>
        </w:rPr>
        <w:t>Entidades Envolvidas:</w:t>
      </w:r>
      <w:r>
        <w:rPr>
          <w:rFonts w:cs="Arial" w:ascii="Arial" w:hAnsi="Arial"/>
          <w:color w:val="000000"/>
        </w:rPr>
        <w:t xml:space="preserve"> Peça e Compra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ind w:hanging="425" w:left="1134"/>
        <w:contextualSpacing/>
        <w:jc w:val="both"/>
        <w:rPr>
          <w:color w:val="000000"/>
        </w:rPr>
      </w:pPr>
      <w:r>
        <w:rPr>
          <w:rFonts w:cs="Arial" w:ascii="Arial" w:hAnsi="Arial"/>
          <w:b/>
          <w:bCs/>
          <w:color w:val="000000"/>
        </w:rPr>
        <w:t>Cardinalidade:</w:t>
      </w:r>
      <w:r>
        <w:rPr>
          <w:rFonts w:cs="Arial" w:ascii="Arial" w:hAnsi="Arial"/>
          <w:color w:val="000000"/>
        </w:rPr>
        <w:t xml:space="preserve"> (1, 1) Peça, já que uma instância da Peça não existe independentemente da Compra e essa instância só pode estar associada a 1 Peça. (1, N) Compra – Peça, visto que uma Compra tem de estar obrigatoriamente associada à uma Peça, porém N Peças podem ser adquiridas em uma Compra.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contextualSpacing/>
        <w:jc w:val="both"/>
        <w:rPr>
          <w:color w:val="000000"/>
        </w:rPr>
      </w:pPr>
      <w:r>
        <w:rPr>
          <w:rFonts w:cs="Arial" w:ascii="Arial" w:hAnsi="Arial"/>
          <w:b/>
          <w:bCs/>
          <w:color w:val="000000"/>
        </w:rPr>
        <w:t>Irá Fornecer: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ind w:hanging="425" w:left="1134"/>
        <w:contextualSpacing/>
        <w:jc w:val="both"/>
        <w:rPr>
          <w:color w:val="000000"/>
        </w:rPr>
      </w:pPr>
      <w:r>
        <w:rPr>
          <w:rFonts w:cs="Arial" w:ascii="Arial" w:hAnsi="Arial"/>
          <w:b/>
          <w:bCs/>
          <w:color w:val="000000"/>
        </w:rPr>
        <w:t>Entidades Envolvidas:</w:t>
      </w:r>
      <w:r>
        <w:rPr>
          <w:rFonts w:cs="Arial" w:ascii="Arial" w:hAnsi="Arial"/>
          <w:color w:val="000000"/>
        </w:rPr>
        <w:t xml:space="preserve"> Fornecedor e Compra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ind w:hanging="425" w:left="1134"/>
        <w:contextualSpacing/>
        <w:jc w:val="both"/>
        <w:rPr>
          <w:color w:val="000000"/>
        </w:rPr>
      </w:pPr>
      <w:r>
        <w:rPr>
          <w:rFonts w:cs="Arial" w:ascii="Arial" w:hAnsi="Arial"/>
          <w:b/>
          <w:bCs/>
          <w:color w:val="000000"/>
        </w:rPr>
        <w:t>Cardinalidade:</w:t>
      </w:r>
      <w:r>
        <w:rPr>
          <w:rFonts w:cs="Arial" w:ascii="Arial" w:hAnsi="Arial"/>
          <w:color w:val="000000"/>
        </w:rPr>
        <w:t xml:space="preserve"> (0, N) Fornecedor, porque uma instância do Fornecedor Independe da Compra e pode estar conectada à N Compras. (1, 1) Compra, devido ao fato de que uma instância da Compra precisa estar relacionada a um Fornecedor e apenas 1.</w:t>
      </w:r>
    </w:p>
    <w:p>
      <w:pPr>
        <w:pStyle w:val="ListParagraph"/>
        <w:numPr>
          <w:ilvl w:val="0"/>
          <w:numId w:val="0"/>
        </w:numPr>
        <w:suppressAutoHyphens w:val="true"/>
        <w:spacing w:lineRule="auto" w:line="360" w:before="0" w:after="0"/>
        <w:ind w:hanging="0" w:left="1134"/>
        <w:contextualSpacing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4. Considerações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>Nesta etapa, você pode descrever quaisquer desafios, suposições ou decisões tomadas durante a criação do modelo.</w:t>
      </w:r>
    </w:p>
    <w:p>
      <w:pPr>
        <w:pStyle w:val="ListParagraph"/>
        <w:numPr>
          <w:ilvl w:val="0"/>
          <w:numId w:val="4"/>
        </w:numPr>
        <w:suppressAutoHyphens w:val="true"/>
        <w:spacing w:lineRule="auto" w:line="360" w:before="0" w:after="0"/>
        <w:ind w:hanging="357" w:left="714"/>
        <w:contextualSpacing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</w:rPr>
        <w:t>D</w:t>
      </w:r>
      <w:r>
        <w:rPr>
          <w:rFonts w:cs="Arial" w:ascii="Arial" w:hAnsi="Arial"/>
          <w:color w:val="000000"/>
        </w:rPr>
        <w:t>esafios:</w:t>
      </w:r>
      <w:r>
        <w:rPr>
          <w:rFonts w:cs="Arial" w:ascii="Arial" w:hAnsi="Arial"/>
          <w:b/>
          <w:bCs/>
          <w:color w:val="000000"/>
        </w:rPr>
        <w:t xml:space="preserve"> </w:t>
      </w:r>
      <w:r>
        <w:rPr>
          <w:rFonts w:cs="Arial" w:ascii="Arial" w:hAnsi="Arial"/>
          <w:b w:val="false"/>
          <w:bCs w:val="false"/>
          <w:color w:val="000000"/>
        </w:rPr>
        <w:t>Tive dificuldade em inserir atributos não-estruturados, pois eles não costumam estar nos tipos de atributos do modelo ER (simples, composto, multivalorado e derivado). Também tive dificuldade em saber se Venda e Compra são entidades fracas ou não. Decidi as colocar como fortes, para que possuam um ID próprio.</w:t>
      </w:r>
    </w:p>
    <w:p>
      <w:pPr>
        <w:pStyle w:val="ListParagraph"/>
        <w:numPr>
          <w:ilvl w:val="0"/>
          <w:numId w:val="0"/>
        </w:numPr>
        <w:suppressAutoHyphens w:val="true"/>
        <w:spacing w:lineRule="auto" w:line="360" w:before="0" w:after="0"/>
        <w:ind w:hanging="0" w:left="714"/>
        <w:contextualSpacing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360" w:before="0" w:after="0"/>
        <w:ind w:hanging="357" w:left="714"/>
        <w:contextualSpacing/>
        <w:jc w:val="both"/>
        <w:rPr>
          <w:color w:val="000000"/>
        </w:rPr>
      </w:pPr>
      <w:r>
        <w:rPr>
          <w:rFonts w:cs="Arial" w:ascii="Arial" w:hAnsi="Arial"/>
          <w:color w:val="000000"/>
        </w:rPr>
        <w:t>Suposições: Foi assumido que Compra e Venda são entidades fortes, logo elas possuem chave-primária própria. Também foi assumido que atributos não-estruturados devem estar no modelo ER. Assumi que o Nome do Fornecedor é único, pois não pode haver duas empresas com o mesmo nome, então a utilizei como chave-primária.</w:t>
      </w:r>
    </w:p>
    <w:p>
      <w:pPr>
        <w:pStyle w:val="ListParagraph"/>
        <w:numPr>
          <w:ilvl w:val="0"/>
          <w:numId w:val="5"/>
        </w:numPr>
        <w:spacing w:lineRule="auto" w:line="360" w:before="0" w:after="160"/>
        <w:contextualSpacing/>
        <w:jc w:val="both"/>
        <w:rPr>
          <w:color w:val="000000"/>
        </w:rPr>
      </w:pPr>
      <w:r>
        <w:rPr>
          <w:rFonts w:cs="Arial" w:ascii="Arial" w:hAnsi="Arial"/>
          <w:color w:val="000000"/>
        </w:rPr>
        <w:t>Conclusão:  O Modelo Entidade-Relacionamento foi capaz de gerar um mapa visual conciso para guiar os próximos passos desse trabalho de modelagem de Banco de Dados. Todas as Entidades, Relacionamentos, Atributos e Cardinalidades foram modelados de forma visual para um fácil entendimento.</w:t>
      </w:r>
    </w:p>
    <w:p>
      <w:pPr>
        <w:pStyle w:val="ListParagraph"/>
        <w:spacing w:lineRule="auto" w:line="360" w:before="0" w:after="160"/>
        <w:contextualSpacing/>
        <w:jc w:val="both"/>
        <w:rPr>
          <w:color w:val="000000"/>
        </w:rPr>
      </w:pPr>
      <w:r>
        <w:rPr>
          <w:color w:val="000000"/>
        </w:rPr>
      </w:r>
    </w:p>
    <w:sectPr>
      <w:headerReference w:type="even" r:id="rId5"/>
      <w:headerReference w:type="default" r:id="rId6"/>
      <w:headerReference w:type="first" r:id="rId7"/>
      <w:type w:val="nextPage"/>
      <w:pgSz w:w="11906" w:h="16838"/>
      <w:pgMar w:left="1701" w:right="1701" w:gutter="0" w:header="708" w:top="2694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252"/>
        <w:tab w:val="clear" w:pos="8504"/>
        <w:tab w:val="left" w:pos="2193" w:leader="none"/>
      </w:tabs>
      <w:rPr/>
    </w:pPr>
    <w:r>
      <w:rPr/>
      <w:drawing>
        <wp:anchor behindDoc="1" distT="0" distB="0" distL="0" distR="0" simplePos="0" locked="0" layoutInCell="0" allowOverlap="1" relativeHeight="7">
          <wp:simplePos x="0" y="0"/>
          <wp:positionH relativeFrom="page">
            <wp:posOffset>3175</wp:posOffset>
          </wp:positionH>
          <wp:positionV relativeFrom="paragraph">
            <wp:posOffset>-449580</wp:posOffset>
          </wp:positionV>
          <wp:extent cx="7546975" cy="1510665"/>
          <wp:effectExtent l="0" t="0" r="0" b="0"/>
          <wp:wrapNone/>
          <wp:docPr id="4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46975" cy="1510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252"/>
        <w:tab w:val="clear" w:pos="8504"/>
        <w:tab w:val="left" w:pos="2193" w:leader="none"/>
      </w:tabs>
      <w:rPr/>
    </w:pPr>
    <w:r>
      <w:rPr/>
      <w:drawing>
        <wp:anchor behindDoc="1" distT="0" distB="0" distL="0" distR="0" simplePos="0" locked="0" layoutInCell="0" allowOverlap="1" relativeHeight="7">
          <wp:simplePos x="0" y="0"/>
          <wp:positionH relativeFrom="page">
            <wp:posOffset>3175</wp:posOffset>
          </wp:positionH>
          <wp:positionV relativeFrom="paragraph">
            <wp:posOffset>-449580</wp:posOffset>
          </wp:positionV>
          <wp:extent cx="7546975" cy="1510665"/>
          <wp:effectExtent l="0" t="0" r="0" b="0"/>
          <wp:wrapNone/>
          <wp:docPr id="5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46975" cy="1510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umentProtection w:edit="readOnly" w:formatting="1" w:cryptProviderType="rsaAES" w:cryptAlgorithmClass="hash" w:cryptAlgorithmType="typeAny" w:cryptAlgorithmSid="" w:cryptSpinCount="0" w:hash="" w:salt="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06d8b"/>
    <w:pPr>
      <w:widowControl/>
      <w:suppressAutoHyphens w:val="fals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423e07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47281f"/>
    <w:rPr/>
  </w:style>
  <w:style w:type="character" w:styleId="RodapChar" w:customStyle="1">
    <w:name w:val="Rodapé Char"/>
    <w:basedOn w:val="DefaultParagraphFont"/>
    <w:uiPriority w:val="99"/>
    <w:qFormat/>
    <w:rsid w:val="0047281f"/>
    <w:rPr/>
  </w:style>
  <w:style w:type="character" w:styleId="Ttulo4Char" w:customStyle="1">
    <w:name w:val="Título 4 Char"/>
    <w:basedOn w:val="DefaultParagraphFont"/>
    <w:uiPriority w:val="9"/>
    <w:semiHidden/>
    <w:qFormat/>
    <w:rsid w:val="00423e07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47281f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47281f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71510b"/>
    <w:pPr>
      <w:spacing w:before="0" w:after="160"/>
      <w:ind w:left="0"/>
      <w:contextualSpacing/>
    </w:pPr>
    <w:rPr/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ac32e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827EE-8DCE-4601-86A3-037813D97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Application>LibreOffice/24.2.7.2$Linux_X86_64 LibreOffice_project/420$Build-2</Application>
  <AppVersion>15.0000</AppVersion>
  <Pages>6</Pages>
  <Words>813</Words>
  <Characters>4255</Characters>
  <CharactersWithSpaces>4923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2025-11-10T15:32:00Z</dcterms:created>
  <dc:creator>Patrick William Pessoa</dc:creator>
  <dc:description/>
  <dc:language>pt-BR</dc:language>
  <cp:lastModifiedBy/>
  <dcterms:modified xsi:type="dcterms:W3CDTF">2025-11-24T10:21:07Z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