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jpeg" ContentType="image/jpeg"/>
  <Override PartName="/word/media/image5.png" ContentType="image/png"/>
  <Override PartName="/word/media/image6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3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 do Projeto: </w:t>
      </w:r>
      <w:r>
        <w:rPr>
          <w:rFonts w:cs="Arial" w:ascii="Arial" w:hAnsi="Arial"/>
          <w:b/>
          <w:bCs/>
          <w:color w:val="000000"/>
        </w:rPr>
        <w:t>Sistema de Gestão de Vendas e Estoque de Peças de carros da Loja AquiCarro.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Descrição do Minimundo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  <w:t xml:space="preserve">Modelar a venda de peças para clientes, a requisição da loja para o estoque, a retirada da peça do estoque e a reposição do estoque. </w:t>
      </w:r>
      <w:r>
        <w:rPr>
          <w:rFonts w:ascii="arial" w:hAnsi="arial"/>
          <w:b/>
          <w:bCs/>
          <w:color w:val="000000"/>
          <w:sz w:val="24"/>
          <w:szCs w:val="24"/>
        </w:rPr>
        <w:t>Obs.: cada atributo não-relacional eu acrescentei como texto, pois seria o de um link para algum local que os guarda.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color w:val="000000"/>
          <w:sz w:val="28"/>
          <w:szCs w:val="28"/>
        </w:rPr>
        <w:t>3. Entregáveis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color w:val="000000"/>
          <w:sz w:val="28"/>
          <w:szCs w:val="28"/>
        </w:rPr>
        <w:t>I</w:t>
      </w:r>
      <w:r>
        <w:rPr>
          <w:rFonts w:cs="Arial" w:ascii="Arial" w:hAnsi="Arial"/>
          <w:b/>
          <w:bCs/>
          <w:color w:val="000000"/>
          <w:sz w:val="28"/>
          <w:szCs w:val="28"/>
        </w:rPr>
        <w:t xml:space="preserve">magens dos pseudocódigos em SQL para a criação das tabelas no modelo lógico. 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56515</wp:posOffset>
            </wp:positionH>
            <wp:positionV relativeFrom="paragraph">
              <wp:posOffset>-22860</wp:posOffset>
            </wp:positionV>
            <wp:extent cx="3805555" cy="507365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-123825</wp:posOffset>
            </wp:positionH>
            <wp:positionV relativeFrom="paragraph">
              <wp:posOffset>84455</wp:posOffset>
            </wp:positionV>
            <wp:extent cx="4352290" cy="5802630"/>
            <wp:effectExtent l="0" t="0" r="0" b="0"/>
            <wp:wrapSquare wrapText="largest"/>
            <wp:docPr id="2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6894830"/>
            <wp:effectExtent l="0" t="0" r="0" b="0"/>
            <wp:wrapSquare wrapText="largest"/>
            <wp:docPr id="3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138430</wp:posOffset>
            </wp:positionH>
            <wp:positionV relativeFrom="paragraph">
              <wp:posOffset>140970</wp:posOffset>
            </wp:positionV>
            <wp:extent cx="3947160" cy="5262880"/>
            <wp:effectExtent l="0" t="0" r="0" b="0"/>
            <wp:wrapSquare wrapText="largest"/>
            <wp:docPr id="4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Verificação: Primeira Forma Normal (1FN)</w:t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Primeira Forma Normal (1FN).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 Cliente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/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/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/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/>
              <w:t>X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 Venda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 Vend</w:t>
      </w:r>
      <w:r>
        <w:rPr>
          <w:rFonts w:cs="Arial" w:ascii="Arial" w:hAnsi="Arial"/>
          <w:b/>
          <w:bCs/>
        </w:rPr>
        <w:t>edor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Entidade / Tabela: </w:t>
      </w:r>
      <w:r>
        <w:rPr>
          <w:rFonts w:cs="Arial" w:ascii="Arial" w:hAnsi="Arial"/>
          <w:b/>
          <w:bCs/>
        </w:rPr>
        <w:t>Peca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Entidade / Tabela: </w:t>
      </w:r>
      <w:r>
        <w:rPr>
          <w:rFonts w:cs="Arial" w:ascii="Arial" w:hAnsi="Arial"/>
          <w:b/>
          <w:bCs/>
        </w:rPr>
        <w:t>Estoque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Entidade / Tabela: </w:t>
      </w:r>
      <w:r>
        <w:rPr>
          <w:rFonts w:cs="Arial" w:ascii="Arial" w:hAnsi="Arial"/>
          <w:b/>
          <w:bCs/>
        </w:rPr>
        <w:t>Compra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Entidade / Tabela: </w:t>
      </w:r>
      <w:r>
        <w:rPr>
          <w:rFonts w:cs="Arial" w:ascii="Arial" w:hAnsi="Arial"/>
          <w:b/>
          <w:bCs/>
        </w:rPr>
        <w:t>Fornecedor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 w:ascii="Arial" w:hAnsi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</w:r>
    </w:p>
    <w:p>
      <w:pPr>
        <w:pStyle w:val="Normal"/>
        <w:suppressAutoHyphens w:val="true"/>
        <w:spacing w:lineRule="auto" w:line="360" w:before="0" w:after="0"/>
        <w:jc w:val="center"/>
        <w:rPr>
          <w:rFonts w:ascii="Arial" w:hAnsi="Arial" w:cs="Arial"/>
          <w:bCs/>
          <w:sz w:val="28"/>
          <w:szCs w:val="28"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3.2. Verificação: Segunda Forma Normal (2FN)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Segunda Forma Normal (2FN).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Pré-requisito:</w:t>
      </w:r>
      <w:r>
        <w:rPr>
          <w:rFonts w:cs="Arial" w:ascii="Arial" w:hAnsi="Arial"/>
        </w:rPr>
        <w:t xml:space="preserve"> A tabela já deve atender à Primeira Forma Normal (1FN).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ListParagraph"/>
        <w:numPr>
          <w:ilvl w:val="0"/>
          <w:numId w:val="1"/>
        </w:numPr>
        <w:spacing w:lineRule="auto" w:line="360"/>
        <w:ind w:hanging="357" w:left="714"/>
        <w:rPr>
          <w:rFonts w:ascii="Arial" w:hAnsi="Arial" w:cs="Arial"/>
        </w:rPr>
      </w:pPr>
      <w:r>
        <w:rPr>
          <w:rFonts w:cs="Arial" w:ascii="Arial" w:hAnsi="Arial"/>
        </w:rPr>
        <w:t>N/A (Não se Aplica): A afirmação não é relevante (geralmente para tabelas com chave primária simples).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permStart w:id="9858915" w:edGrp="everyone"/>
      <w:r>
        <w:rPr>
          <w:rFonts w:cs="Arial" w:ascii="Arial" w:hAnsi="Arial"/>
          <w:color w:val="000000"/>
        </w:rPr>
        <w:t>Cliente</w:t>
      </w:r>
      <w:permEnd w:id="985891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Venda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Vendedor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Peça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Estoque</w:t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Compra</w:t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</w:rPr>
        <w:t>Fornecedor</w:t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2977"/>
        <w:gridCol w:w="1134"/>
        <w:gridCol w:w="1561"/>
        <w:gridCol w:w="1273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/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3.3. Verificação: Terceira Forma Normal (3FN)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Terceira Forma Normal (3FN).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Pré-requisito:</w:t>
      </w:r>
      <w:r>
        <w:rPr>
          <w:rFonts w:cs="Arial" w:ascii="Arial" w:hAnsi="Arial"/>
        </w:rPr>
        <w:t xml:space="preserve"> A tabela já deve atender à Segunda Forma Normal (2FN).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</w:t>
      </w:r>
      <w:r>
        <w:rPr>
          <w:rFonts w:cs="Arial" w:ascii="Arial" w:hAnsi="Arial"/>
          <w:b/>
          <w:bCs/>
          <w:color w:val="000000"/>
        </w:rPr>
        <w:t>Cliente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val="000000"/>
        </w:rPr>
        <w:t xml:space="preserve"> Venda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</w:t>
      </w:r>
      <w:r>
        <w:rPr>
          <w:rFonts w:cs="Arial" w:ascii="Arial" w:hAnsi="Arial"/>
          <w:b/>
          <w:bCs/>
          <w:color w:val="000000"/>
        </w:rPr>
        <w:t>Vendedor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</w:t>
      </w:r>
      <w:r>
        <w:rPr>
          <w:rFonts w:cs="Arial" w:ascii="Arial" w:hAnsi="Arial"/>
          <w:b/>
          <w:bCs/>
          <w:color w:val="000000"/>
        </w:rPr>
        <w:t>Peça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</w:t>
      </w:r>
      <w:r>
        <w:rPr>
          <w:rFonts w:cs="Arial" w:ascii="Arial" w:hAnsi="Arial"/>
          <w:b/>
          <w:bCs/>
          <w:color w:val="000000"/>
        </w:rPr>
        <w:t>Estoque (fraca)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</w:t>
      </w:r>
      <w:r>
        <w:rPr>
          <w:rFonts w:cs="Arial" w:ascii="Arial" w:hAnsi="Arial"/>
          <w:b/>
          <w:bCs/>
          <w:color w:val="000000"/>
        </w:rPr>
        <w:t>Compra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</w:t>
      </w:r>
      <w:r>
        <w:rPr>
          <w:rFonts w:cs="Arial" w:ascii="Arial" w:hAnsi="Arial"/>
          <w:b/>
          <w:bCs/>
          <w:color w:val="000000"/>
        </w:rPr>
        <w:t>Fornecedor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3.4. Diagrama Entidade-Relacionamento (DER) - Revisado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Revisar e desenvolver o Modelo Lógico aplicando as formas normais 1FN, 2FN e 3FN.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Descrição: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 diagrama abaixo apresenta o modelo lógico do minimundo.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Todas as entidades relevantes foram identificadas.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Os atributos principais de cada entidade estão detalhados.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Os relacionamentos entre as entidades foram estabelecidos.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As cardinalidades de todos os relacionamentos estão definidas.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Aplicação e revisão das formas normais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748155"/>
            <wp:effectExtent l="0" t="0" r="0" b="0"/>
            <wp:wrapSquare wrapText="largest"/>
            <wp:docPr id="5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4"/>
          <w:szCs w:val="24"/>
        </w:rPr>
        <w:t>Imagem do modelo ER revisitado.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318770</wp:posOffset>
            </wp:positionH>
            <wp:positionV relativeFrom="paragraph">
              <wp:posOffset>-38100</wp:posOffset>
            </wp:positionV>
            <wp:extent cx="4857750" cy="2905125"/>
            <wp:effectExtent l="0" t="0" r="0" b="0"/>
            <wp:wrapSquare wrapText="largest"/>
            <wp:docPr id="6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Imagem das tabelas do modelo lógico.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38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7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38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8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formatting="1" w:cryptProviderType="rsaAES" w:cryptAlgorithmClass="hash" w:cryptAlgorithmType="typeAny" w:cryptAlgorithmSid="" w:cryptSpinCount="0" w:hash="" w:salt="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5d0e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3.jpe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Application>LibreOffice/24.2.7.2$Linux_X86_64 LibreOffice_project/420$Build-2</Application>
  <AppVersion>15.0000</AppVersion>
  <Pages>37</Pages>
  <Words>4942</Words>
  <Characters>24387</Characters>
  <CharactersWithSpaces>28535</CharactersWithSpaces>
  <Paragraphs>784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2025-11-25T23:03:26Z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