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SSS01 - O sistema deve permitir o cadastro, edição e consulta de clientes, deve permitir o cadastro do CPF, Nome, Telefone e endereço e o cadastro deve ser obrigatório quando for delivery.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SSS02 - O sistema deve permitir o cadastro, edição e consulta dos pedidos, deve permitir o cadastro do valor, número e data com a finalidade de controle de informações.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SSS03 - O sistema deve permitir o cadastro, edição e consulta das comandas, é necessário que seja gerada uma comanda com o valor e data do pedido e informações do cliente para a contabilização.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SSS04 - O sistema deve permitir a solicitação, cadastro, edição e consulta das matérias primas, deve permitir o cadastro do valor, nome e quantidade com a finalidade de controlar o estoque.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C01 - Cadastrar clientes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C02 - Consultar clientes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C03 - Alterar clientes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C04 - Cadastrar pedido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C05 - Consultar pedido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C06 - Alterar pedido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C07 - Cadastrar comandas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C08 - Consultar comandas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C09 - Alterar comandas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C10 - Solicitar Matéria prima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C11 - Cadastrar Matéria prima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C12 - Consultar Matéria prima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C13 - Alterar Matéria prima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