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EA5B26" w14:textId="77777777" w:rsidR="0010101E" w:rsidRDefault="0010101E">
      <w:pPr>
        <w:jc w:val="center"/>
        <w:rPr>
          <w:rFonts w:ascii="Calibri" w:hAnsi="Calibri" w:cs="Calibri"/>
          <w:b/>
          <w:sz w:val="24"/>
          <w:szCs w:val="24"/>
        </w:rPr>
      </w:pPr>
    </w:p>
    <w:p w14:paraId="36B79733" w14:textId="77777777" w:rsidR="0010101E" w:rsidRDefault="00000000">
      <w:pPr>
        <w:tabs>
          <w:tab w:val="left" w:pos="2742"/>
        </w:tabs>
        <w:rPr>
          <w:rFonts w:ascii="Calibri" w:hAnsi="Calibri"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ab/>
      </w:r>
    </w:p>
    <w:p w14:paraId="3C304390" w14:textId="77777777" w:rsidR="0010101E" w:rsidRDefault="0010101E">
      <w:pPr>
        <w:jc w:val="center"/>
        <w:rPr>
          <w:rFonts w:ascii="Calibri" w:hAnsi="Calibri" w:cs="Calibri"/>
          <w:b/>
          <w:sz w:val="36"/>
          <w:szCs w:val="36"/>
        </w:rPr>
      </w:pPr>
    </w:p>
    <w:p w14:paraId="229CC275" w14:textId="77777777" w:rsidR="0010101E" w:rsidRDefault="0010101E">
      <w:pPr>
        <w:jc w:val="center"/>
        <w:rPr>
          <w:rFonts w:ascii="Calibri" w:hAnsi="Calibri" w:cs="Calibri"/>
          <w:b/>
          <w:sz w:val="36"/>
          <w:szCs w:val="36"/>
        </w:rPr>
      </w:pPr>
    </w:p>
    <w:p w14:paraId="72DCBF7E" w14:textId="77777777" w:rsidR="0010101E" w:rsidRDefault="0010101E">
      <w:pPr>
        <w:jc w:val="center"/>
        <w:rPr>
          <w:rFonts w:ascii="Calibri" w:hAnsi="Calibri" w:cs="Calibri"/>
          <w:b/>
          <w:sz w:val="36"/>
          <w:szCs w:val="36"/>
        </w:rPr>
      </w:pPr>
    </w:p>
    <w:p w14:paraId="19AB3F6F" w14:textId="77777777" w:rsidR="0010101E" w:rsidRDefault="0010101E">
      <w:pPr>
        <w:jc w:val="center"/>
        <w:rPr>
          <w:rFonts w:ascii="Calibri" w:hAnsi="Calibri" w:cs="Calibri"/>
          <w:b/>
          <w:sz w:val="36"/>
          <w:szCs w:val="36"/>
        </w:rPr>
      </w:pPr>
    </w:p>
    <w:p w14:paraId="59AD4623" w14:textId="77777777" w:rsidR="0010101E" w:rsidRDefault="00000000">
      <w:pPr>
        <w:jc w:val="center"/>
        <w:rPr>
          <w:rFonts w:ascii="Calibri" w:hAnsi="Calibri" w:cs="Calibri"/>
          <w:b/>
          <w:sz w:val="36"/>
          <w:szCs w:val="36"/>
        </w:rPr>
      </w:pPr>
      <w:r>
        <w:rPr>
          <w:rFonts w:cs="Calibri"/>
          <w:b/>
          <w:sz w:val="36"/>
          <w:szCs w:val="36"/>
        </w:rPr>
        <w:t>Relatório do Projeto de</w:t>
      </w:r>
    </w:p>
    <w:p w14:paraId="67688B1F" w14:textId="77777777" w:rsidR="0010101E" w:rsidRDefault="00000000">
      <w:pPr>
        <w:jc w:val="center"/>
        <w:rPr>
          <w:rFonts w:ascii="Calibri" w:hAnsi="Calibri" w:cs="Calibri"/>
          <w:b/>
          <w:bCs/>
          <w:i/>
          <w:sz w:val="24"/>
          <w:szCs w:val="24"/>
        </w:rPr>
      </w:pPr>
      <w:r>
        <w:rPr>
          <w:rFonts w:cs="Calibri"/>
          <w:b/>
          <w:i/>
          <w:iCs/>
          <w:sz w:val="36"/>
          <w:szCs w:val="36"/>
        </w:rPr>
        <w:t>Interface Web</w:t>
      </w:r>
      <w:r>
        <w:rPr>
          <w:rFonts w:cs="Calibri"/>
          <w:b/>
          <w:sz w:val="36"/>
          <w:szCs w:val="36"/>
        </w:rPr>
        <w:t xml:space="preserve"> 3D</w:t>
      </w:r>
    </w:p>
    <w:p w14:paraId="30AE1F5F" w14:textId="77777777" w:rsidR="0010101E" w:rsidRDefault="00000000">
      <w:pPr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       </w:t>
      </w:r>
    </w:p>
    <w:p w14:paraId="22F643B3" w14:textId="77777777" w:rsidR="0010101E" w:rsidRDefault="0010101E">
      <w:pPr>
        <w:jc w:val="center"/>
        <w:rPr>
          <w:rFonts w:ascii="Calibri" w:hAnsi="Calibri" w:cs="Calibri"/>
          <w:sz w:val="24"/>
          <w:szCs w:val="24"/>
        </w:rPr>
      </w:pPr>
    </w:p>
    <w:p w14:paraId="5C8FE8BE" w14:textId="77777777" w:rsidR="0010101E" w:rsidRDefault="0010101E">
      <w:pPr>
        <w:jc w:val="center"/>
        <w:rPr>
          <w:rFonts w:ascii="Calibri" w:hAnsi="Calibri" w:cs="Calibri"/>
          <w:sz w:val="24"/>
          <w:szCs w:val="24"/>
        </w:rPr>
      </w:pPr>
    </w:p>
    <w:p w14:paraId="17E09C24" w14:textId="77777777" w:rsidR="0010101E" w:rsidRDefault="0010101E">
      <w:pPr>
        <w:jc w:val="center"/>
        <w:rPr>
          <w:rFonts w:ascii="Calibri" w:hAnsi="Calibri" w:cs="Calibri"/>
          <w:sz w:val="24"/>
          <w:szCs w:val="24"/>
        </w:rPr>
      </w:pPr>
    </w:p>
    <w:p w14:paraId="1ED2BFC3" w14:textId="77777777" w:rsidR="0010101E" w:rsidRDefault="00000000">
      <w:pPr>
        <w:jc w:val="center"/>
        <w:rPr>
          <w:rFonts w:ascii="Calibri" w:hAnsi="Calibri" w:cs="Calibri"/>
          <w:b/>
          <w:bCs/>
          <w:i/>
          <w:sz w:val="24"/>
          <w:szCs w:val="24"/>
        </w:rPr>
      </w:pPr>
      <w:r>
        <w:rPr>
          <w:rFonts w:cs="Calibri"/>
          <w:sz w:val="24"/>
          <w:szCs w:val="24"/>
        </w:rPr>
        <w:t xml:space="preserve">                                                                      </w:t>
      </w:r>
    </w:p>
    <w:p w14:paraId="1613558A" w14:textId="77777777" w:rsidR="0010101E" w:rsidRDefault="00000000">
      <w:pPr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Licenciatura em Engenharia Informática</w:t>
      </w:r>
    </w:p>
    <w:p w14:paraId="7EC53D5C" w14:textId="77777777" w:rsidR="0010101E" w:rsidRDefault="00000000">
      <w:pPr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/>
          <w:sz w:val="24"/>
          <w:szCs w:val="24"/>
        </w:rPr>
        <w:t>Sistemas Gráficos e Interação</w:t>
      </w:r>
    </w:p>
    <w:p w14:paraId="6FCFF565" w14:textId="77777777" w:rsidR="0010101E" w:rsidRDefault="0010101E">
      <w:pPr>
        <w:jc w:val="center"/>
        <w:rPr>
          <w:rFonts w:ascii="Calibri" w:hAnsi="Calibri" w:cs="Calibri"/>
          <w:b/>
          <w:sz w:val="24"/>
          <w:szCs w:val="24"/>
        </w:rPr>
      </w:pPr>
    </w:p>
    <w:p w14:paraId="18061104" w14:textId="77777777" w:rsidR="0010101E" w:rsidRDefault="0010101E">
      <w:pPr>
        <w:jc w:val="center"/>
        <w:rPr>
          <w:rFonts w:ascii="Calibri" w:hAnsi="Calibri" w:cs="Calibri"/>
          <w:b/>
          <w:sz w:val="24"/>
          <w:szCs w:val="24"/>
        </w:rPr>
      </w:pPr>
    </w:p>
    <w:p w14:paraId="3BC77A87" w14:textId="77777777" w:rsidR="0010101E" w:rsidRDefault="00000000">
      <w:pPr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b/>
          <w:sz w:val="24"/>
          <w:szCs w:val="24"/>
        </w:rPr>
        <w:t>Ano Letivo:</w:t>
      </w:r>
      <w:r>
        <w:rPr>
          <w:rFonts w:cs="Calibri"/>
          <w:sz w:val="24"/>
          <w:szCs w:val="24"/>
        </w:rPr>
        <w:t xml:space="preserve"> 2025/2026</w:t>
      </w:r>
    </w:p>
    <w:p w14:paraId="6EB47018" w14:textId="77777777" w:rsidR="0010101E" w:rsidRDefault="0010101E">
      <w:pPr>
        <w:jc w:val="center"/>
        <w:rPr>
          <w:rFonts w:ascii="Calibri" w:hAnsi="Calibri" w:cs="Calibri"/>
          <w:sz w:val="24"/>
          <w:szCs w:val="24"/>
        </w:rPr>
      </w:pPr>
    </w:p>
    <w:p w14:paraId="1B3D4DDE" w14:textId="77777777" w:rsidR="0010101E" w:rsidRDefault="0010101E">
      <w:pPr>
        <w:jc w:val="center"/>
        <w:rPr>
          <w:rFonts w:ascii="Calibri" w:hAnsi="Calibri" w:cs="Calibri"/>
          <w:sz w:val="24"/>
          <w:szCs w:val="24"/>
        </w:rPr>
      </w:pPr>
    </w:p>
    <w:p w14:paraId="19E10EF3" w14:textId="77777777" w:rsidR="0010101E" w:rsidRDefault="0010101E">
      <w:pPr>
        <w:jc w:val="center"/>
        <w:rPr>
          <w:rFonts w:ascii="Calibri" w:hAnsi="Calibri" w:cs="Calibri"/>
          <w:sz w:val="24"/>
          <w:szCs w:val="24"/>
        </w:rPr>
      </w:pPr>
    </w:p>
    <w:p w14:paraId="6A0736D3" w14:textId="77777777" w:rsidR="0010101E" w:rsidRDefault="0010101E">
      <w:pPr>
        <w:jc w:val="center"/>
        <w:rPr>
          <w:rFonts w:ascii="Calibri" w:hAnsi="Calibri" w:cs="Calibri"/>
          <w:sz w:val="24"/>
          <w:szCs w:val="24"/>
        </w:rPr>
      </w:pPr>
    </w:p>
    <w:p w14:paraId="31CF1F7C" w14:textId="77777777" w:rsidR="0010101E" w:rsidRDefault="0010101E">
      <w:pPr>
        <w:jc w:val="center"/>
        <w:rPr>
          <w:rFonts w:ascii="Calibri" w:hAnsi="Calibri" w:cs="Calibri"/>
          <w:sz w:val="24"/>
          <w:szCs w:val="24"/>
        </w:rPr>
      </w:pPr>
    </w:p>
    <w:p w14:paraId="71F7A1EC" w14:textId="77777777" w:rsidR="0010101E" w:rsidRDefault="00000000">
      <w:pPr>
        <w:tabs>
          <w:tab w:val="center" w:pos="4252"/>
          <w:tab w:val="left" w:pos="6810"/>
        </w:tabs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Estudantes:</w:t>
      </w:r>
    </w:p>
    <w:p w14:paraId="440BDEAF" w14:textId="77777777" w:rsidR="0010101E" w:rsidRDefault="00000000">
      <w:pPr>
        <w:tabs>
          <w:tab w:val="center" w:pos="4252"/>
          <w:tab w:val="left" w:pos="6810"/>
        </w:tabs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Gabriel Asafe de Jesus Martins, 2220740 </w:t>
      </w:r>
    </w:p>
    <w:p w14:paraId="166AB479" w14:textId="77777777" w:rsidR="0010101E" w:rsidRDefault="00000000">
      <w:pPr>
        <w:tabs>
          <w:tab w:val="center" w:pos="4252"/>
          <w:tab w:val="left" w:pos="6810"/>
        </w:tabs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José Carlos Oliveira </w:t>
      </w:r>
      <w:proofErr w:type="gramStart"/>
      <w:r>
        <w:rPr>
          <w:rFonts w:cs="Calibri"/>
          <w:sz w:val="24"/>
          <w:szCs w:val="24"/>
        </w:rPr>
        <w:t>Paulo ,</w:t>
      </w:r>
      <w:proofErr w:type="gramEnd"/>
      <w:r>
        <w:rPr>
          <w:rFonts w:cs="Calibri"/>
          <w:sz w:val="24"/>
          <w:szCs w:val="24"/>
        </w:rPr>
        <w:t xml:space="preserve"> 2242070</w:t>
      </w:r>
      <w:r>
        <w:t xml:space="preserve"> </w:t>
      </w:r>
    </w:p>
    <w:bookmarkStart w:id="0" w:name="_Toc180131251" w:displacedByCustomXml="next"/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</w:rPr>
        <w:id w:val="1971629003"/>
        <w:docPartObj>
          <w:docPartGallery w:val="Table of Contents"/>
          <w:docPartUnique/>
        </w:docPartObj>
      </w:sdtPr>
      <w:sdtContent>
        <w:p w14:paraId="169A31B8" w14:textId="77777777" w:rsidR="0010101E" w:rsidRDefault="00000000">
          <w:pPr>
            <w:pStyle w:val="Heading1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Índice</w:t>
          </w:r>
          <w:bookmarkEnd w:id="0"/>
        </w:p>
        <w:p w14:paraId="34721651" w14:textId="77777777" w:rsidR="0010101E" w:rsidRDefault="00000000">
          <w:pPr>
            <w:pStyle w:val="TOC1"/>
            <w:rPr>
              <w:rFonts w:eastAsiaTheme="minorEastAsia"/>
              <w:lang w:eastAsia="pt-PT"/>
            </w:rPr>
          </w:pPr>
          <w:r>
            <w:fldChar w:fldCharType="begin"/>
          </w:r>
          <w:r>
            <w:rPr>
              <w:rStyle w:val="Ligaodendice"/>
              <w:rFonts w:cs="Calibri"/>
              <w:webHidden/>
            </w:rPr>
            <w:instrText xml:space="preserve"> TOC \z \o "1-3" \u \h</w:instrText>
          </w:r>
          <w:r>
            <w:rPr>
              <w:rStyle w:val="Ligaodendice"/>
            </w:rPr>
            <w:fldChar w:fldCharType="separate"/>
          </w:r>
          <w:hyperlink w:anchor="_Toc180131251">
            <w:r>
              <w:rPr>
                <w:rStyle w:val="Ligaodendice"/>
                <w:rFonts w:cs="Calibri"/>
                <w:webHidden/>
              </w:rPr>
              <w:t>Índice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_Toc180131251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17CEFD4A" w14:textId="77777777" w:rsidR="0010101E" w:rsidRDefault="00000000">
          <w:pPr>
            <w:pStyle w:val="TOC1"/>
            <w:rPr>
              <w:rFonts w:eastAsiaTheme="minorEastAsia"/>
              <w:lang w:eastAsia="pt-PT"/>
            </w:rPr>
          </w:pPr>
          <w:hyperlink w:anchor="_Toc180131252">
            <w:r>
              <w:rPr>
                <w:rStyle w:val="Ligaodendice"/>
                <w:rFonts w:cs="Calibri"/>
                <w:webHidden/>
                <w:lang w:eastAsia="pt-PT"/>
              </w:rPr>
              <w:t>1.</w:t>
            </w:r>
            <w:r>
              <w:rPr>
                <w:rStyle w:val="Ligaodendice"/>
                <w:rFonts w:eastAsiaTheme="minorEastAsia"/>
                <w:lang w:eastAsia="pt-PT"/>
              </w:rPr>
              <w:tab/>
            </w:r>
            <w:r>
              <w:rPr>
                <w:rStyle w:val="Ligaodendice"/>
                <w:rFonts w:cs="Calibri"/>
                <w:lang w:eastAsia="pt-PT"/>
              </w:rPr>
              <w:t>Avaliação heurística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_Toc180131252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7AD7CDE1" w14:textId="77777777" w:rsidR="0010101E" w:rsidRDefault="00000000">
          <w:pPr>
            <w:pStyle w:val="TOC1"/>
            <w:rPr>
              <w:rFonts w:eastAsiaTheme="minorEastAsia"/>
              <w:lang w:eastAsia="pt-PT"/>
            </w:rPr>
          </w:pPr>
          <w:hyperlink w:anchor="_Toc180131253">
            <w:r>
              <w:rPr>
                <w:rStyle w:val="Ligaodendice"/>
                <w:rFonts w:cs="Calibri"/>
                <w:webHidden/>
              </w:rPr>
              <w:t>2.</w:t>
            </w:r>
            <w:r>
              <w:rPr>
                <w:rStyle w:val="Ligaodendice"/>
                <w:rFonts w:eastAsiaTheme="minorEastAsia"/>
                <w:lang w:eastAsia="pt-PT"/>
              </w:rPr>
              <w:tab/>
            </w:r>
            <w:r>
              <w:rPr>
                <w:rStyle w:val="Ligaodendice"/>
                <w:rFonts w:cs="Calibri"/>
              </w:rPr>
              <w:t>Análise de Utilizadores e Tarefas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_Toc180131253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44023450" w14:textId="77777777" w:rsidR="0010101E" w:rsidRDefault="00000000">
          <w:pPr>
            <w:pStyle w:val="TOC1"/>
            <w:rPr>
              <w:rFonts w:eastAsiaTheme="minorEastAsia"/>
              <w:lang w:eastAsia="pt-PT"/>
            </w:rPr>
          </w:pPr>
          <w:hyperlink w:anchor="_Toc180131254">
            <w:r>
              <w:rPr>
                <w:rStyle w:val="Ligaodendice"/>
                <w:rFonts w:cs="Calibri"/>
                <w:webHidden/>
              </w:rPr>
              <w:t>3.</w:t>
            </w:r>
            <w:r>
              <w:rPr>
                <w:rStyle w:val="Ligaodendice"/>
                <w:rFonts w:eastAsiaTheme="minorEastAsia"/>
                <w:lang w:eastAsia="pt-PT"/>
              </w:rPr>
              <w:tab/>
            </w:r>
            <w:r>
              <w:rPr>
                <w:rStyle w:val="Ligaodendice"/>
                <w:rFonts w:cs="Calibri"/>
              </w:rPr>
              <w:t>Requisitos funcionais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_Toc180131254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239DB968" w14:textId="77777777" w:rsidR="0010101E" w:rsidRDefault="00000000">
          <w:pPr>
            <w:pStyle w:val="TOC1"/>
            <w:rPr>
              <w:rFonts w:eastAsiaTheme="minorEastAsia"/>
              <w:lang w:eastAsia="pt-PT"/>
            </w:rPr>
          </w:pPr>
          <w:hyperlink w:anchor="_Toc180131255">
            <w:r>
              <w:rPr>
                <w:rStyle w:val="Ligaodendice"/>
                <w:rFonts w:cs="Calibri"/>
                <w:webHidden/>
              </w:rPr>
              <w:t>4.</w:t>
            </w:r>
            <w:r>
              <w:rPr>
                <w:rStyle w:val="Ligaodendice"/>
                <w:rFonts w:eastAsiaTheme="minorEastAsia"/>
                <w:lang w:eastAsia="pt-PT"/>
              </w:rPr>
              <w:tab/>
            </w:r>
            <w:r>
              <w:rPr>
                <w:rStyle w:val="Ligaodendice"/>
                <w:rFonts w:cs="Calibri"/>
              </w:rPr>
              <w:t>Avaliação da Usabilidade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_Toc180131255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74DE842C" w14:textId="77777777" w:rsidR="0010101E" w:rsidRDefault="00000000">
          <w:pPr>
            <w:pStyle w:val="TOC1"/>
            <w:rPr>
              <w:rFonts w:eastAsiaTheme="minorEastAsia"/>
              <w:lang w:eastAsia="pt-PT"/>
            </w:rPr>
          </w:pPr>
          <w:hyperlink w:anchor="_Toc180131256">
            <w:r>
              <w:rPr>
                <w:rStyle w:val="Ligaodendice"/>
                <w:rFonts w:cs="Calibri"/>
                <w:webHidden/>
                <w:lang w:eastAsia="pt-PT"/>
              </w:rPr>
              <w:t>5.</w:t>
            </w:r>
            <w:r>
              <w:rPr>
                <w:rStyle w:val="Ligaodendice"/>
                <w:rFonts w:eastAsiaTheme="minorEastAsia"/>
                <w:lang w:eastAsia="pt-PT"/>
              </w:rPr>
              <w:tab/>
            </w:r>
            <w:r>
              <w:rPr>
                <w:rStyle w:val="Ligaodendice"/>
                <w:rFonts w:cs="Calibri"/>
                <w:lang w:eastAsia="pt-PT"/>
              </w:rPr>
              <w:t>Análise/Discussão dos resultados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_Toc180131256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1781916F" w14:textId="77777777" w:rsidR="0010101E" w:rsidRDefault="00000000">
          <w:pPr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/>
              <w:sz w:val="24"/>
              <w:szCs w:val="24"/>
            </w:rPr>
            <w:fldChar w:fldCharType="end"/>
          </w:r>
        </w:p>
      </w:sdtContent>
    </w:sdt>
    <w:p w14:paraId="60B51621" w14:textId="77777777" w:rsidR="0010101E" w:rsidRDefault="00000000">
      <w:pPr>
        <w:rPr>
          <w:rFonts w:ascii="Calibri" w:hAnsi="Calibri" w:cs="Calibri"/>
          <w:sz w:val="24"/>
          <w:szCs w:val="24"/>
        </w:rPr>
      </w:pPr>
      <w:r>
        <w:br w:type="page"/>
      </w:r>
    </w:p>
    <w:p w14:paraId="1E1EE2C8" w14:textId="77777777" w:rsidR="0010101E" w:rsidRDefault="0010101E">
      <w:pPr>
        <w:pStyle w:val="Heading1"/>
        <w:ind w:left="396"/>
        <w:jc w:val="left"/>
        <w:rPr>
          <w:rFonts w:ascii="Calibri" w:hAnsi="Calibri" w:cs="Calibri"/>
          <w:lang w:eastAsia="pt-PT"/>
        </w:rPr>
      </w:pPr>
    </w:p>
    <w:p w14:paraId="21EED0A0" w14:textId="77777777" w:rsidR="0010101E" w:rsidRDefault="00000000">
      <w:pPr>
        <w:pStyle w:val="Heading1"/>
        <w:numPr>
          <w:ilvl w:val="0"/>
          <w:numId w:val="1"/>
        </w:numPr>
        <w:rPr>
          <w:rFonts w:ascii="Calibri" w:hAnsi="Calibri" w:cs="Calibri"/>
          <w:lang w:eastAsia="pt-PT"/>
        </w:rPr>
      </w:pPr>
      <w:bookmarkStart w:id="1" w:name="_Toc180131252"/>
      <w:r>
        <w:rPr>
          <w:rFonts w:ascii="Calibri" w:hAnsi="Calibri" w:cs="Calibri"/>
          <w:lang w:eastAsia="pt-PT"/>
        </w:rPr>
        <w:t>Avaliação heurística</w:t>
      </w:r>
      <w:bookmarkEnd w:id="1"/>
    </w:p>
    <w:p w14:paraId="61C645EB" w14:textId="77777777" w:rsidR="0010101E" w:rsidRDefault="0010101E">
      <w:pPr>
        <w:rPr>
          <w:lang w:eastAsia="pt-PT"/>
        </w:rPr>
      </w:pPr>
    </w:p>
    <w:p w14:paraId="0E752044" w14:textId="77777777" w:rsidR="0010101E" w:rsidRDefault="0010101E">
      <w:pPr>
        <w:rPr>
          <w:rFonts w:ascii="Calibri" w:hAnsi="Calibri" w:cs="Calibri"/>
          <w:lang w:eastAsia="pt-PT"/>
        </w:rPr>
      </w:pPr>
    </w:p>
    <w:p w14:paraId="3E6386A7" w14:textId="77777777" w:rsidR="0010101E" w:rsidRDefault="0010101E">
      <w:pPr>
        <w:rPr>
          <w:rFonts w:ascii="Calibri" w:hAnsi="Calibri" w:cs="Calibri"/>
          <w:lang w:eastAsia="pt-PT"/>
        </w:rPr>
      </w:pPr>
    </w:p>
    <w:p w14:paraId="0B31861E" w14:textId="77777777" w:rsidR="0010101E" w:rsidRDefault="00000000">
      <w:pPr>
        <w:rPr>
          <w:rFonts w:ascii="Calibri" w:eastAsiaTheme="majorEastAsia" w:hAnsi="Calibri" w:cs="Calibri"/>
          <w:b/>
          <w:sz w:val="24"/>
          <w:szCs w:val="32"/>
        </w:rPr>
      </w:pPr>
      <w:r>
        <w:rPr>
          <w:rFonts w:eastAsiaTheme="majorEastAsia" w:cs="Calibri"/>
          <w:b/>
          <w:sz w:val="24"/>
          <w:szCs w:val="32"/>
        </w:rPr>
        <w:t xml:space="preserve">Consultar </w:t>
      </w:r>
      <w:proofErr w:type="spellStart"/>
      <w:r>
        <w:rPr>
          <w:rFonts w:eastAsiaTheme="majorEastAsia" w:cs="Calibri"/>
          <w:b/>
          <w:sz w:val="24"/>
          <w:szCs w:val="32"/>
        </w:rPr>
        <w:t>pdf</w:t>
      </w:r>
      <w:proofErr w:type="spellEnd"/>
      <w:r>
        <w:rPr>
          <w:rFonts w:eastAsiaTheme="majorEastAsia" w:cs="Calibri"/>
          <w:b/>
          <w:sz w:val="24"/>
          <w:szCs w:val="32"/>
        </w:rPr>
        <w:t xml:space="preserve"> enviado em conjunto</w:t>
      </w:r>
      <w:r>
        <w:br w:type="page"/>
      </w:r>
    </w:p>
    <w:p w14:paraId="05F2F163" w14:textId="77777777" w:rsidR="0010101E" w:rsidRDefault="0010101E">
      <w:pPr>
        <w:pStyle w:val="Heading1"/>
        <w:ind w:left="396"/>
        <w:jc w:val="left"/>
        <w:rPr>
          <w:rFonts w:ascii="Calibri" w:hAnsi="Calibri" w:cs="Calibri"/>
        </w:rPr>
      </w:pPr>
    </w:p>
    <w:p w14:paraId="54231730" w14:textId="77777777" w:rsidR="0010101E" w:rsidRDefault="00000000">
      <w:pPr>
        <w:pStyle w:val="Heading1"/>
        <w:numPr>
          <w:ilvl w:val="0"/>
          <w:numId w:val="1"/>
        </w:numPr>
        <w:rPr>
          <w:rFonts w:ascii="Calibri" w:hAnsi="Calibri" w:cs="Calibri"/>
        </w:rPr>
      </w:pPr>
      <w:bookmarkStart w:id="2" w:name="_Toc180131253"/>
      <w:r>
        <w:rPr>
          <w:rFonts w:ascii="Calibri" w:hAnsi="Calibri" w:cs="Calibri"/>
        </w:rPr>
        <w:t>Análise de Utilizadores e Tarefas</w:t>
      </w:r>
      <w:bookmarkEnd w:id="2"/>
      <w:r>
        <w:rPr>
          <w:rFonts w:ascii="Calibri" w:hAnsi="Calibri" w:cs="Calibri"/>
        </w:rPr>
        <w:t xml:space="preserve"> </w:t>
      </w:r>
    </w:p>
    <w:p w14:paraId="613D7D6D" w14:textId="77777777" w:rsidR="0010101E" w:rsidRDefault="0010101E">
      <w:pPr>
        <w:rPr>
          <w:rFonts w:ascii="Calibri" w:hAnsi="Calibri" w:cs="Calibri"/>
        </w:rPr>
      </w:pPr>
    </w:p>
    <w:tbl>
      <w:tblPr>
        <w:tblW w:w="8504" w:type="dxa"/>
        <w:tblInd w:w="5" w:type="dxa"/>
        <w:tblBorders>
          <w:top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87"/>
        <w:gridCol w:w="2280"/>
        <w:gridCol w:w="2336"/>
        <w:gridCol w:w="2001"/>
      </w:tblGrid>
      <w:tr w:rsidR="00EA7CD0" w14:paraId="3418ADF0" w14:textId="77777777" w:rsidTr="00EA7CD0">
        <w:tblPrEx>
          <w:tblCellMar>
            <w:top w:w="0" w:type="dxa"/>
            <w:bottom w:w="0" w:type="dxa"/>
          </w:tblCellMar>
        </w:tblPrEx>
        <w:trPr>
          <w:trHeight w:val="100"/>
        </w:trPr>
        <w:tc>
          <w:tcPr>
            <w:tcW w:w="8504" w:type="dxa"/>
            <w:gridSpan w:val="4"/>
            <w:tcBorders>
              <w:bottom w:val="single" w:sz="4" w:space="0" w:color="auto"/>
            </w:tcBorders>
          </w:tcPr>
          <w:p w14:paraId="64BFFB4D" w14:textId="77777777" w:rsidR="00EA7CD0" w:rsidRDefault="00EA7CD0" w:rsidP="00EA7CD0">
            <w:pPr>
              <w:pStyle w:val="Contedodatabelauser"/>
              <w:widowControl/>
              <w:spacing w:after="0" w:line="331" w:lineRule="auto"/>
              <w:jc w:val="center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</w:p>
        </w:tc>
      </w:tr>
      <w:tr w:rsidR="0010101E" w14:paraId="62F53378" w14:textId="77777777" w:rsidTr="00541FCA">
        <w:tblPrEx>
          <w:tblBorders>
            <w:top w:val="none" w:sz="0" w:space="0" w:color="auto"/>
          </w:tblBorders>
          <w:tblCellMar>
            <w:top w:w="0" w:type="dxa"/>
            <w:left w:w="0" w:type="dxa"/>
            <w:bottom w:w="0" w:type="dxa"/>
            <w:right w:w="0" w:type="dxa"/>
          </w:tblCellMar>
          <w:tblLook w:val="04A0" w:firstRow="1" w:lastRow="0" w:firstColumn="1" w:lastColumn="0" w:noHBand="0" w:noVBand="1"/>
        </w:tblPrEx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981A4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jc w:val="center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Tipo de Utilizador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F54AF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jc w:val="center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Características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08AD3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jc w:val="center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Necessidades principais</w:t>
            </w:r>
          </w:p>
        </w:tc>
        <w:tc>
          <w:tcPr>
            <w:tcW w:w="2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AA4E8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jc w:val="center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Competências digitais</w:t>
            </w:r>
          </w:p>
        </w:tc>
      </w:tr>
      <w:tr w:rsidR="0010101E" w14:paraId="00B33DEA" w14:textId="77777777" w:rsidTr="00541FCA">
        <w:tblPrEx>
          <w:tblBorders>
            <w:top w:val="none" w:sz="0" w:space="0" w:color="auto"/>
          </w:tblBorders>
          <w:tblCellMar>
            <w:top w:w="0" w:type="dxa"/>
            <w:left w:w="0" w:type="dxa"/>
            <w:bottom w:w="0" w:type="dxa"/>
            <w:right w:w="0" w:type="dxa"/>
          </w:tblCellMar>
          <w:tblLook w:val="04A0" w:firstRow="1" w:lastRow="0" w:firstColumn="1" w:lastColumn="0" w:noHBand="0" w:noVBand="1"/>
        </w:tblPrEx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45E9A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Cliente comum (consumidor final)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E3C3F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Adultos (25–60 anos), procuram produtos de moda e decoração.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A11EE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Navegação simples, encontrar produtos, comparar preços, comprar com segurança.</w:t>
            </w:r>
          </w:p>
        </w:tc>
        <w:tc>
          <w:tcPr>
            <w:tcW w:w="2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5EB785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Média (usa internet e apps de compras).</w:t>
            </w:r>
          </w:p>
        </w:tc>
      </w:tr>
      <w:tr w:rsidR="0010101E" w14:paraId="6E813282" w14:textId="77777777" w:rsidTr="00541FCA">
        <w:tblPrEx>
          <w:tblBorders>
            <w:top w:val="none" w:sz="0" w:space="0" w:color="auto"/>
          </w:tblBorders>
          <w:tblCellMar>
            <w:top w:w="0" w:type="dxa"/>
            <w:left w:w="0" w:type="dxa"/>
            <w:bottom w:w="0" w:type="dxa"/>
            <w:right w:w="0" w:type="dxa"/>
          </w:tblCellMar>
          <w:tblLook w:val="04A0" w:firstRow="1" w:lastRow="0" w:firstColumn="1" w:lastColumn="0" w:noHBand="0" w:noVBand="1"/>
        </w:tblPrEx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AF041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Cliente fiel / registado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BFDAEF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Utilizadores que têm conta, histórico de compras e favoritos.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EE8CD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Login rápido, histórico, reordenação fácil, promoções personalizadas.</w:t>
            </w:r>
          </w:p>
        </w:tc>
        <w:tc>
          <w:tcPr>
            <w:tcW w:w="2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5E28E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Média-alta.</w:t>
            </w:r>
          </w:p>
        </w:tc>
      </w:tr>
      <w:tr w:rsidR="0010101E" w14:paraId="6DC3A524" w14:textId="77777777" w:rsidTr="00541FCA">
        <w:tblPrEx>
          <w:tblBorders>
            <w:top w:val="none" w:sz="0" w:space="0" w:color="auto"/>
          </w:tblBorders>
          <w:tblCellMar>
            <w:top w:w="0" w:type="dxa"/>
            <w:left w:w="0" w:type="dxa"/>
            <w:bottom w:w="0" w:type="dxa"/>
            <w:right w:w="0" w:type="dxa"/>
          </w:tblCellMar>
          <w:tblLook w:val="04A0" w:firstRow="1" w:lastRow="0" w:firstColumn="1" w:lastColumn="0" w:noHBand="0" w:noVBand="1"/>
        </w:tblPrEx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B85A8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Visitante ocasional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3758B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Entra pela primeira vez, sem conta.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1248D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Explorar produtos, ver tendências, não quer preencher muitos formulários.</w:t>
            </w:r>
          </w:p>
        </w:tc>
        <w:tc>
          <w:tcPr>
            <w:tcW w:w="2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3DA8A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Média.</w:t>
            </w:r>
          </w:p>
        </w:tc>
      </w:tr>
      <w:tr w:rsidR="0010101E" w14:paraId="39535489" w14:textId="77777777" w:rsidTr="00541FCA">
        <w:tblPrEx>
          <w:tblBorders>
            <w:top w:val="none" w:sz="0" w:space="0" w:color="auto"/>
          </w:tblBorders>
          <w:tblCellMar>
            <w:top w:w="0" w:type="dxa"/>
            <w:left w:w="0" w:type="dxa"/>
            <w:bottom w:w="0" w:type="dxa"/>
            <w:right w:w="0" w:type="dxa"/>
          </w:tblCellMar>
          <w:tblLook w:val="04A0" w:firstRow="1" w:lastRow="0" w:firstColumn="1" w:lastColumn="0" w:noHBand="0" w:noVBand="1"/>
        </w:tblPrEx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33B16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Utilizador sénior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E68C6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55+, pode ter dificuldades de visão ou leitura.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64D18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Texto legível, contraste alto, navegação clara e feedback visível.</w:t>
            </w:r>
          </w:p>
        </w:tc>
        <w:tc>
          <w:tcPr>
            <w:tcW w:w="2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87167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Baixa-média.</w:t>
            </w:r>
          </w:p>
        </w:tc>
      </w:tr>
      <w:tr w:rsidR="0010101E" w14:paraId="04874543" w14:textId="77777777" w:rsidTr="00541FCA">
        <w:tblPrEx>
          <w:tblBorders>
            <w:top w:val="none" w:sz="0" w:space="0" w:color="auto"/>
          </w:tblBorders>
          <w:tblCellMar>
            <w:top w:w="0" w:type="dxa"/>
            <w:left w:w="0" w:type="dxa"/>
            <w:bottom w:w="0" w:type="dxa"/>
            <w:right w:w="0" w:type="dxa"/>
          </w:tblCellMar>
          <w:tblLook w:val="04A0" w:firstRow="1" w:lastRow="0" w:firstColumn="1" w:lastColumn="0" w:noHBand="0" w:noVBand="1"/>
        </w:tblPrEx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ED69F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Utilizador com deficiência (visual, motora, cognitiva)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C7D36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Pode usar leitores de ecrã, navegação por teclado ou necessitar ajustes visuais.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C4639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 xml:space="preserve">Compatibilidade com tecnologias </w:t>
            </w:r>
            <w:proofErr w:type="spellStart"/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assistivas</w:t>
            </w:r>
            <w:proofErr w:type="spellEnd"/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, foco visível, legendas, atalhos.</w:t>
            </w:r>
          </w:p>
        </w:tc>
        <w:tc>
          <w:tcPr>
            <w:tcW w:w="2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EEF17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Variável, mas depende da acessibilidade do site.</w:t>
            </w:r>
          </w:p>
        </w:tc>
      </w:tr>
    </w:tbl>
    <w:p w14:paraId="5478D136" w14:textId="77777777" w:rsidR="0010101E" w:rsidRDefault="00000000">
      <w:pPr>
        <w:rPr>
          <w:rFonts w:ascii="Calibri" w:eastAsiaTheme="majorEastAsia" w:hAnsi="Calibri" w:cs="Calibri"/>
          <w:b/>
          <w:sz w:val="24"/>
          <w:szCs w:val="32"/>
        </w:rPr>
      </w:pPr>
      <w:r>
        <w:br w:type="page"/>
      </w:r>
    </w:p>
    <w:p w14:paraId="39FEF576" w14:textId="77777777" w:rsidR="0010101E" w:rsidRDefault="0010101E">
      <w:pPr>
        <w:rPr>
          <w:rFonts w:ascii="Calibri" w:eastAsiaTheme="majorEastAsia" w:hAnsi="Calibri" w:cs="Calibri"/>
          <w:b/>
          <w:sz w:val="24"/>
          <w:szCs w:val="32"/>
        </w:rPr>
      </w:pPr>
    </w:p>
    <w:p w14:paraId="051B787A" w14:textId="77AD15EC" w:rsidR="0010101E" w:rsidRDefault="0010101E">
      <w:pPr>
        <w:rPr>
          <w:rFonts w:ascii="Calibri" w:eastAsiaTheme="majorEastAsia" w:hAnsi="Calibri" w:cs="Calibri"/>
          <w:b/>
          <w:sz w:val="24"/>
          <w:szCs w:val="32"/>
        </w:rPr>
      </w:pPr>
      <w:bookmarkStart w:id="3" w:name="docs-internal-guid-33d34181-7fff-c6df-7f"/>
      <w:bookmarkEnd w:id="3"/>
    </w:p>
    <w:tbl>
      <w:tblPr>
        <w:tblW w:w="850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7"/>
        <w:gridCol w:w="2570"/>
        <w:gridCol w:w="3467"/>
      </w:tblGrid>
      <w:tr w:rsidR="0010101E" w14:paraId="74D60F98" w14:textId="77777777" w:rsidTr="00EA7CD0">
        <w:tc>
          <w:tcPr>
            <w:tcW w:w="2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9942D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jc w:val="center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Tarefa</w:t>
            </w:r>
          </w:p>
        </w:tc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62A22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jc w:val="center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Descrição</w:t>
            </w:r>
          </w:p>
        </w:tc>
        <w:tc>
          <w:tcPr>
            <w:tcW w:w="3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B457F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jc w:val="center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Dificuldades observadas / potenciais melhorias</w:t>
            </w:r>
          </w:p>
        </w:tc>
      </w:tr>
      <w:tr w:rsidR="0010101E" w14:paraId="39965BDA" w14:textId="77777777" w:rsidTr="00EA7CD0">
        <w:tc>
          <w:tcPr>
            <w:tcW w:w="2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1412A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1. Procurar um produto</w:t>
            </w:r>
          </w:p>
        </w:tc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DC758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 xml:space="preserve">Usar a pesquisa ou navegar pelas categorias (“Casa”, “Moda”, </w:t>
            </w:r>
            <w:proofErr w:type="spellStart"/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etc</w:t>
            </w:r>
            <w:proofErr w:type="spellEnd"/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).</w:t>
            </w:r>
          </w:p>
        </w:tc>
        <w:tc>
          <w:tcPr>
            <w:tcW w:w="3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541B4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Filtros inconsistentes em algumas categorias; difícil encontrar tamanhos/dimensões específicas.</w:t>
            </w:r>
          </w:p>
        </w:tc>
      </w:tr>
      <w:tr w:rsidR="0010101E" w14:paraId="4D48D780" w14:textId="77777777" w:rsidTr="00EA7CD0">
        <w:tc>
          <w:tcPr>
            <w:tcW w:w="2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E7C48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2. Adicionar produto ao carrinho</w:t>
            </w:r>
          </w:p>
        </w:tc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2B7F0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Escolher cor/tamanho e adicionar ao carrinho.</w:t>
            </w:r>
          </w:p>
        </w:tc>
        <w:tc>
          <w:tcPr>
            <w:tcW w:w="3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74D9A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Não é possível remover imediatamente após clicar (só no carrinho).</w:t>
            </w:r>
          </w:p>
        </w:tc>
      </w:tr>
      <w:tr w:rsidR="0010101E" w14:paraId="5B2AD864" w14:textId="77777777" w:rsidTr="00EA7CD0">
        <w:tc>
          <w:tcPr>
            <w:tcW w:w="2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01912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3. Ver e gerir o carrinho</w:t>
            </w:r>
          </w:p>
        </w:tc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EC3FF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Rever artigos e preços antes da compra.</w:t>
            </w:r>
          </w:p>
        </w:tc>
        <w:tc>
          <w:tcPr>
            <w:tcW w:w="3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C1DC3C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Falta de feedback imediato ao adicionar/remover produtos.</w:t>
            </w:r>
          </w:p>
        </w:tc>
      </w:tr>
      <w:tr w:rsidR="0010101E" w14:paraId="7CDDA50E" w14:textId="77777777" w:rsidTr="00EA7CD0">
        <w:tc>
          <w:tcPr>
            <w:tcW w:w="2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C5211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4. Registar-se / Iniciar sessão</w:t>
            </w:r>
          </w:p>
        </w:tc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A51291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Criar conta ou fazer login.</w:t>
            </w:r>
          </w:p>
        </w:tc>
        <w:tc>
          <w:tcPr>
            <w:tcW w:w="3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62DF2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Obrigatório para comprar — pode ser um obstáculo a novos utilizadores.</w:t>
            </w:r>
          </w:p>
        </w:tc>
      </w:tr>
      <w:tr w:rsidR="0010101E" w14:paraId="6E648D65" w14:textId="77777777" w:rsidTr="00EA7CD0">
        <w:tc>
          <w:tcPr>
            <w:tcW w:w="2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20BEF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5. Finalizar compra (checkout)</w:t>
            </w:r>
          </w:p>
        </w:tc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0C7C8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Escolher morada, método de pagamento, confirmar compra.</w:t>
            </w:r>
          </w:p>
        </w:tc>
        <w:tc>
          <w:tcPr>
            <w:tcW w:w="3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D3C71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Processo depende de login; poderia haver “checkout rápido” como visitante.</w:t>
            </w:r>
          </w:p>
        </w:tc>
      </w:tr>
      <w:tr w:rsidR="0010101E" w14:paraId="6C924BB8" w14:textId="77777777" w:rsidTr="00EA7CD0">
        <w:tc>
          <w:tcPr>
            <w:tcW w:w="2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14D6F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6. Consultar informações de ajuda ou contacto</w:t>
            </w:r>
          </w:p>
        </w:tc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46AF9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Aceder a “Ajuda”, “Devoluções”, “Contactos”.</w:t>
            </w:r>
          </w:p>
        </w:tc>
        <w:tc>
          <w:tcPr>
            <w:tcW w:w="3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8AF85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Boa visibilidade no rodapé, mas pouco destaque visual.</w:t>
            </w:r>
          </w:p>
        </w:tc>
      </w:tr>
      <w:tr w:rsidR="0010101E" w14:paraId="0A108458" w14:textId="77777777" w:rsidTr="00EA7CD0">
        <w:tc>
          <w:tcPr>
            <w:tcW w:w="2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FB9D8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7. Utilizar funcionalidades de acessibilidade</w:t>
            </w:r>
          </w:p>
        </w:tc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971CE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Ajustar tamanho da letra, contraste, navegação por teclado.</w:t>
            </w:r>
          </w:p>
        </w:tc>
        <w:tc>
          <w:tcPr>
            <w:tcW w:w="3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FB99D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Nenhuma ferramenta visível; ausência total de ajustes acessíveis.</w:t>
            </w:r>
          </w:p>
        </w:tc>
      </w:tr>
      <w:tr w:rsidR="0010101E" w14:paraId="2126EE3B" w14:textId="77777777" w:rsidTr="00EA7CD0">
        <w:tc>
          <w:tcPr>
            <w:tcW w:w="2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1E24F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8. Visualizar histórico / favoritos</w:t>
            </w:r>
          </w:p>
        </w:tc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3CF55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Rever produtos vistos e guardados.</w:t>
            </w:r>
          </w:p>
        </w:tc>
        <w:tc>
          <w:tcPr>
            <w:tcW w:w="3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5D988" w14:textId="77777777" w:rsidR="0010101E" w:rsidRDefault="00000000" w:rsidP="00EA7CD0">
            <w:pPr>
              <w:pStyle w:val="Contedodatabelauser"/>
              <w:widowControl/>
              <w:spacing w:after="0" w:line="331" w:lineRule="auto"/>
              <w:rPr>
                <w:rFonts w:ascii="Calibri" w:eastAsiaTheme="majorEastAsia" w:hAnsi="Calibri" w:cs="Calibri"/>
                <w:b/>
                <w:color w:val="000000"/>
                <w:sz w:val="24"/>
                <w:szCs w:val="32"/>
              </w:rPr>
            </w:pPr>
            <w:proofErr w:type="gramStart"/>
            <w:r>
              <w:rPr>
                <w:rFonts w:eastAsiaTheme="majorEastAsia" w:cs="Calibri"/>
                <w:b/>
                <w:color w:val="000000"/>
                <w:sz w:val="24"/>
                <w:szCs w:val="32"/>
              </w:rPr>
              <w:t>“</w:t>
            </w: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Últimos artigos vistos” aparece</w:t>
            </w:r>
            <w:proofErr w:type="gramEnd"/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 xml:space="preserve"> no fim da página, pouco visível.</w:t>
            </w:r>
          </w:p>
        </w:tc>
      </w:tr>
      <w:tr w:rsidR="00EA7CD0" w14:paraId="78B40310" w14:textId="77777777" w:rsidTr="00EA7CD0">
        <w:tblPrEx>
          <w:tblBorders>
            <w:top w:val="single" w:sz="4" w:space="0" w:color="auto"/>
          </w:tblBorders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8504" w:type="dxa"/>
            <w:gridSpan w:val="3"/>
          </w:tcPr>
          <w:p w14:paraId="6A451E9B" w14:textId="77777777" w:rsidR="00EA7CD0" w:rsidRDefault="00EA7CD0" w:rsidP="00EA7CD0"/>
        </w:tc>
      </w:tr>
    </w:tbl>
    <w:p w14:paraId="6D8E0D45" w14:textId="77777777" w:rsidR="0010101E" w:rsidRDefault="00000000">
      <w:pPr>
        <w:rPr>
          <w:rFonts w:ascii="Calibri" w:eastAsiaTheme="majorEastAsia" w:hAnsi="Calibri" w:cs="Calibri"/>
          <w:b/>
          <w:sz w:val="24"/>
          <w:szCs w:val="32"/>
        </w:rPr>
      </w:pPr>
      <w:r>
        <w:br w:type="page"/>
      </w:r>
    </w:p>
    <w:p w14:paraId="7DA0127A" w14:textId="77777777" w:rsidR="0010101E" w:rsidRDefault="0010101E">
      <w:pPr>
        <w:pStyle w:val="Heading1"/>
        <w:ind w:left="397"/>
        <w:jc w:val="left"/>
        <w:rPr>
          <w:rFonts w:ascii="Calibri" w:hAnsi="Calibri" w:cs="Calibri"/>
        </w:rPr>
      </w:pPr>
    </w:p>
    <w:p w14:paraId="00F1C50A" w14:textId="77777777" w:rsidR="0010101E" w:rsidRDefault="00000000">
      <w:pPr>
        <w:pStyle w:val="Heading1"/>
        <w:numPr>
          <w:ilvl w:val="0"/>
          <w:numId w:val="1"/>
        </w:numPr>
        <w:rPr>
          <w:rFonts w:ascii="Calibri" w:hAnsi="Calibri" w:cs="Calibri"/>
        </w:rPr>
      </w:pPr>
      <w:bookmarkStart w:id="4" w:name="_Toc180131254"/>
      <w:r>
        <w:rPr>
          <w:rFonts w:ascii="Calibri" w:hAnsi="Calibri" w:cs="Calibri"/>
        </w:rPr>
        <w:t>Requisitos funcionais</w:t>
      </w:r>
      <w:bookmarkEnd w:id="4"/>
    </w:p>
    <w:p w14:paraId="5620C7B4" w14:textId="77777777" w:rsidR="0010101E" w:rsidRDefault="0010101E">
      <w:pPr>
        <w:rPr>
          <w:rFonts w:ascii="Calibri" w:hAnsi="Calibri" w:cs="Calibri"/>
        </w:rPr>
      </w:pPr>
    </w:p>
    <w:p w14:paraId="429A31A3" w14:textId="77777777" w:rsidR="0010101E" w:rsidRDefault="0010101E">
      <w:pPr>
        <w:rPr>
          <w:rFonts w:ascii="Calibri" w:eastAsiaTheme="majorEastAsia" w:hAnsi="Calibri" w:cs="Calibri"/>
          <w:b/>
          <w:sz w:val="24"/>
          <w:szCs w:val="32"/>
        </w:rPr>
      </w:pPr>
      <w:bookmarkStart w:id="5" w:name="docs-internal-guid-da772d31-7fff-8978-c0"/>
      <w:bookmarkEnd w:id="5"/>
    </w:p>
    <w:tbl>
      <w:tblPr>
        <w:tblW w:w="850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5"/>
        <w:gridCol w:w="2627"/>
        <w:gridCol w:w="4862"/>
      </w:tblGrid>
      <w:tr w:rsidR="0010101E" w14:paraId="1C868D76" w14:textId="77777777">
        <w:tc>
          <w:tcPr>
            <w:tcW w:w="1015" w:type="dxa"/>
            <w:vAlign w:val="center"/>
          </w:tcPr>
          <w:p w14:paraId="306F1913" w14:textId="77777777" w:rsidR="0010101E" w:rsidRDefault="00000000">
            <w:pPr>
              <w:pStyle w:val="Contedodatabelauser"/>
              <w:widowControl/>
              <w:spacing w:after="0" w:line="331" w:lineRule="auto"/>
              <w:jc w:val="center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Código</w:t>
            </w:r>
          </w:p>
        </w:tc>
        <w:tc>
          <w:tcPr>
            <w:tcW w:w="2627" w:type="dxa"/>
            <w:vAlign w:val="center"/>
          </w:tcPr>
          <w:p w14:paraId="3121C618" w14:textId="77777777" w:rsidR="0010101E" w:rsidRDefault="00000000">
            <w:pPr>
              <w:pStyle w:val="Contedodatabelauser"/>
              <w:widowControl/>
              <w:spacing w:after="0" w:line="331" w:lineRule="auto"/>
              <w:jc w:val="center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Requisito</w:t>
            </w:r>
          </w:p>
        </w:tc>
        <w:tc>
          <w:tcPr>
            <w:tcW w:w="4862" w:type="dxa"/>
            <w:vAlign w:val="center"/>
          </w:tcPr>
          <w:p w14:paraId="77B9588A" w14:textId="77777777" w:rsidR="0010101E" w:rsidRDefault="00000000">
            <w:pPr>
              <w:pStyle w:val="Contedodatabelauser"/>
              <w:widowControl/>
              <w:spacing w:after="0" w:line="331" w:lineRule="auto"/>
              <w:jc w:val="center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Descrição</w:t>
            </w:r>
          </w:p>
        </w:tc>
      </w:tr>
      <w:tr w:rsidR="0010101E" w14:paraId="07A9765A" w14:textId="77777777">
        <w:tc>
          <w:tcPr>
            <w:tcW w:w="1015" w:type="dxa"/>
            <w:vAlign w:val="center"/>
          </w:tcPr>
          <w:p w14:paraId="70EDADEC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RF1</w:t>
            </w:r>
          </w:p>
        </w:tc>
        <w:tc>
          <w:tcPr>
            <w:tcW w:w="2627" w:type="dxa"/>
            <w:vAlign w:val="center"/>
          </w:tcPr>
          <w:p w14:paraId="69363091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Autenticação e gestão de conta</w:t>
            </w:r>
          </w:p>
        </w:tc>
        <w:tc>
          <w:tcPr>
            <w:tcW w:w="4862" w:type="dxa"/>
            <w:vAlign w:val="center"/>
          </w:tcPr>
          <w:p w14:paraId="5EF21200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Permitir criar, editar e eliminar contas de utilizador.</w:t>
            </w:r>
          </w:p>
        </w:tc>
      </w:tr>
      <w:tr w:rsidR="0010101E" w14:paraId="7C5A1E70" w14:textId="77777777">
        <w:tc>
          <w:tcPr>
            <w:tcW w:w="1015" w:type="dxa"/>
            <w:vAlign w:val="center"/>
          </w:tcPr>
          <w:p w14:paraId="0B2E00D6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RF2</w:t>
            </w:r>
          </w:p>
        </w:tc>
        <w:tc>
          <w:tcPr>
            <w:tcW w:w="2627" w:type="dxa"/>
            <w:vAlign w:val="center"/>
          </w:tcPr>
          <w:p w14:paraId="7EE2D6AC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Navegação por categorias e pesquisa</w:t>
            </w:r>
          </w:p>
        </w:tc>
        <w:tc>
          <w:tcPr>
            <w:tcW w:w="4862" w:type="dxa"/>
            <w:vAlign w:val="center"/>
          </w:tcPr>
          <w:p w14:paraId="5F5288E2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Disponibilizar menu principal e barra de pesquisa dinâmica com filtros avançados.</w:t>
            </w:r>
          </w:p>
        </w:tc>
      </w:tr>
      <w:tr w:rsidR="0010101E" w14:paraId="4F5E5A01" w14:textId="77777777">
        <w:tc>
          <w:tcPr>
            <w:tcW w:w="1015" w:type="dxa"/>
            <w:vAlign w:val="center"/>
          </w:tcPr>
          <w:p w14:paraId="284EB4D0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RF3</w:t>
            </w:r>
          </w:p>
        </w:tc>
        <w:tc>
          <w:tcPr>
            <w:tcW w:w="2627" w:type="dxa"/>
            <w:vAlign w:val="center"/>
          </w:tcPr>
          <w:p w14:paraId="6E7B486E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Carrinho dinâmico</w:t>
            </w:r>
          </w:p>
        </w:tc>
        <w:tc>
          <w:tcPr>
            <w:tcW w:w="4862" w:type="dxa"/>
            <w:vAlign w:val="center"/>
          </w:tcPr>
          <w:p w14:paraId="0A969EFF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Permitir adicionar, remover e alterar quantidades sem sair da página do produto.</w:t>
            </w:r>
          </w:p>
        </w:tc>
      </w:tr>
      <w:tr w:rsidR="0010101E" w14:paraId="13A14E08" w14:textId="77777777">
        <w:tc>
          <w:tcPr>
            <w:tcW w:w="1015" w:type="dxa"/>
            <w:vAlign w:val="center"/>
          </w:tcPr>
          <w:p w14:paraId="71AFA922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RF4</w:t>
            </w:r>
          </w:p>
        </w:tc>
        <w:tc>
          <w:tcPr>
            <w:tcW w:w="2627" w:type="dxa"/>
            <w:vAlign w:val="center"/>
          </w:tcPr>
          <w:p w14:paraId="7AF87635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Checkout simplificado</w:t>
            </w:r>
          </w:p>
        </w:tc>
        <w:tc>
          <w:tcPr>
            <w:tcW w:w="4862" w:type="dxa"/>
            <w:vAlign w:val="center"/>
          </w:tcPr>
          <w:p w14:paraId="28DBCF02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Permitir compra como visitante e mostrar resumo da encomenda em tempo real.</w:t>
            </w:r>
          </w:p>
        </w:tc>
      </w:tr>
      <w:tr w:rsidR="0010101E" w14:paraId="27F63641" w14:textId="77777777">
        <w:tc>
          <w:tcPr>
            <w:tcW w:w="1015" w:type="dxa"/>
            <w:vAlign w:val="center"/>
          </w:tcPr>
          <w:p w14:paraId="2E3B3544" w14:textId="77777777" w:rsidR="0010101E" w:rsidRDefault="0010101E">
            <w:pPr>
              <w:pStyle w:val="Contedodatabelauser"/>
            </w:pPr>
          </w:p>
        </w:tc>
        <w:tc>
          <w:tcPr>
            <w:tcW w:w="2627" w:type="dxa"/>
            <w:vAlign w:val="center"/>
          </w:tcPr>
          <w:p w14:paraId="30773990" w14:textId="77777777" w:rsidR="0010101E" w:rsidRDefault="0010101E">
            <w:pPr>
              <w:pStyle w:val="Contedodatabelauser"/>
            </w:pPr>
          </w:p>
        </w:tc>
        <w:tc>
          <w:tcPr>
            <w:tcW w:w="4862" w:type="dxa"/>
            <w:vAlign w:val="center"/>
          </w:tcPr>
          <w:p w14:paraId="68E80434" w14:textId="77777777" w:rsidR="0010101E" w:rsidRDefault="0010101E">
            <w:pPr>
              <w:pStyle w:val="Contedodatabelauser"/>
            </w:pPr>
          </w:p>
        </w:tc>
      </w:tr>
      <w:tr w:rsidR="0010101E" w14:paraId="749D33BF" w14:textId="77777777">
        <w:tc>
          <w:tcPr>
            <w:tcW w:w="1015" w:type="dxa"/>
            <w:vAlign w:val="center"/>
          </w:tcPr>
          <w:p w14:paraId="2B8C1CA7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RF6</w:t>
            </w:r>
          </w:p>
        </w:tc>
        <w:tc>
          <w:tcPr>
            <w:tcW w:w="2627" w:type="dxa"/>
            <w:vAlign w:val="center"/>
          </w:tcPr>
          <w:p w14:paraId="3933FF9F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Histórico e favoritos</w:t>
            </w:r>
          </w:p>
        </w:tc>
        <w:tc>
          <w:tcPr>
            <w:tcW w:w="4862" w:type="dxa"/>
            <w:vAlign w:val="center"/>
          </w:tcPr>
          <w:p w14:paraId="1AE23F25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Apresentar os últimos artigos vistos e produtos favoritos num local visível.</w:t>
            </w:r>
          </w:p>
        </w:tc>
      </w:tr>
      <w:tr w:rsidR="0010101E" w14:paraId="71AAC65F" w14:textId="77777777">
        <w:tc>
          <w:tcPr>
            <w:tcW w:w="1015" w:type="dxa"/>
            <w:vAlign w:val="center"/>
          </w:tcPr>
          <w:p w14:paraId="4DD72743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RF7</w:t>
            </w:r>
          </w:p>
        </w:tc>
        <w:tc>
          <w:tcPr>
            <w:tcW w:w="2627" w:type="dxa"/>
            <w:vAlign w:val="center"/>
          </w:tcPr>
          <w:p w14:paraId="520A1F5D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Acessibilidade</w:t>
            </w:r>
          </w:p>
        </w:tc>
        <w:tc>
          <w:tcPr>
            <w:tcW w:w="4862" w:type="dxa"/>
            <w:vAlign w:val="center"/>
          </w:tcPr>
          <w:p w14:paraId="69620D72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 xml:space="preserve">Incluir painel de acessibilidade (ajuste de contraste, tamanho de letra, navegação por teclado, </w:t>
            </w:r>
            <w:proofErr w:type="spellStart"/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alt</w:t>
            </w:r>
            <w:proofErr w:type="spellEnd"/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text</w:t>
            </w:r>
            <w:proofErr w:type="spellEnd"/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 xml:space="preserve"> em imagens).</w:t>
            </w:r>
          </w:p>
        </w:tc>
      </w:tr>
      <w:tr w:rsidR="0010101E" w14:paraId="3F8C051A" w14:textId="77777777">
        <w:tc>
          <w:tcPr>
            <w:tcW w:w="1015" w:type="dxa"/>
            <w:vAlign w:val="center"/>
          </w:tcPr>
          <w:p w14:paraId="3F89234C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RF8</w:t>
            </w:r>
          </w:p>
        </w:tc>
        <w:tc>
          <w:tcPr>
            <w:tcW w:w="2627" w:type="dxa"/>
            <w:vAlign w:val="center"/>
          </w:tcPr>
          <w:p w14:paraId="0B1BECF6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Ajuda contextual</w:t>
            </w:r>
          </w:p>
        </w:tc>
        <w:tc>
          <w:tcPr>
            <w:tcW w:w="4862" w:type="dxa"/>
            <w:vAlign w:val="center"/>
          </w:tcPr>
          <w:p w14:paraId="495E3E62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Fornecer ajuda integrada e documentação no contexto de cada página (</w:t>
            </w:r>
            <w:proofErr w:type="spellStart"/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ex</w:t>
            </w:r>
            <w:proofErr w:type="spellEnd"/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: “Como escolher o tamanho da roupa”).</w:t>
            </w:r>
          </w:p>
        </w:tc>
      </w:tr>
      <w:tr w:rsidR="0010101E" w14:paraId="07D227E8" w14:textId="77777777">
        <w:tc>
          <w:tcPr>
            <w:tcW w:w="1015" w:type="dxa"/>
            <w:vAlign w:val="center"/>
          </w:tcPr>
          <w:p w14:paraId="79AC8591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RF9</w:t>
            </w:r>
          </w:p>
        </w:tc>
        <w:tc>
          <w:tcPr>
            <w:tcW w:w="2627" w:type="dxa"/>
            <w:vAlign w:val="center"/>
          </w:tcPr>
          <w:p w14:paraId="6A8D04AF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Compatibilidade multimodal (3D)</w:t>
            </w:r>
          </w:p>
        </w:tc>
        <w:tc>
          <w:tcPr>
            <w:tcW w:w="4862" w:type="dxa"/>
            <w:vAlign w:val="center"/>
          </w:tcPr>
          <w:p w14:paraId="3EF994E7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Permitir exploração dos produtos em 3D (rotação, zoom, ambiente virtual de loja).</w:t>
            </w:r>
          </w:p>
        </w:tc>
      </w:tr>
      <w:tr w:rsidR="0010101E" w14:paraId="45C3354C" w14:textId="77777777">
        <w:tc>
          <w:tcPr>
            <w:tcW w:w="1015" w:type="dxa"/>
            <w:vAlign w:val="center"/>
          </w:tcPr>
          <w:p w14:paraId="2451956C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RF10</w:t>
            </w:r>
          </w:p>
        </w:tc>
        <w:tc>
          <w:tcPr>
            <w:tcW w:w="2627" w:type="dxa"/>
            <w:vAlign w:val="center"/>
          </w:tcPr>
          <w:p w14:paraId="68DE152B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Suporte multilingue</w:t>
            </w:r>
          </w:p>
        </w:tc>
        <w:tc>
          <w:tcPr>
            <w:tcW w:w="4862" w:type="dxa"/>
            <w:vAlign w:val="center"/>
          </w:tcPr>
          <w:p w14:paraId="2ADEF0A8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Permitir alternar entre português e francês de forma consistente e clara.</w:t>
            </w:r>
          </w:p>
        </w:tc>
      </w:tr>
      <w:tr w:rsidR="0010101E" w14:paraId="47F62915" w14:textId="77777777">
        <w:tc>
          <w:tcPr>
            <w:tcW w:w="1015" w:type="dxa"/>
            <w:vAlign w:val="center"/>
          </w:tcPr>
          <w:p w14:paraId="6CE07D66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RF11</w:t>
            </w:r>
          </w:p>
        </w:tc>
        <w:tc>
          <w:tcPr>
            <w:tcW w:w="2627" w:type="dxa"/>
            <w:vAlign w:val="center"/>
          </w:tcPr>
          <w:p w14:paraId="7B379542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Filtros personalizados</w:t>
            </w:r>
          </w:p>
        </w:tc>
        <w:tc>
          <w:tcPr>
            <w:tcW w:w="4862" w:type="dxa"/>
            <w:vAlign w:val="center"/>
          </w:tcPr>
          <w:p w14:paraId="1E65F1B3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Permitir ao utilizador definir filtros salvos (</w:t>
            </w:r>
            <w:proofErr w:type="spellStart"/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ex</w:t>
            </w:r>
            <w:proofErr w:type="spellEnd"/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: dimensões específicas de móveis).</w:t>
            </w:r>
          </w:p>
        </w:tc>
      </w:tr>
      <w:tr w:rsidR="0010101E" w14:paraId="1FA56C4A" w14:textId="77777777">
        <w:tc>
          <w:tcPr>
            <w:tcW w:w="1015" w:type="dxa"/>
            <w:vAlign w:val="center"/>
          </w:tcPr>
          <w:p w14:paraId="4992E84A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RF12</w:t>
            </w:r>
          </w:p>
        </w:tc>
        <w:tc>
          <w:tcPr>
            <w:tcW w:w="2627" w:type="dxa"/>
            <w:vAlign w:val="center"/>
          </w:tcPr>
          <w:p w14:paraId="23E63AAC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b/>
                <w:color w:val="000000"/>
                <w:sz w:val="24"/>
                <w:szCs w:val="32"/>
              </w:rPr>
              <w:t>Segurança e privacidade</w:t>
            </w:r>
          </w:p>
        </w:tc>
        <w:tc>
          <w:tcPr>
            <w:tcW w:w="4862" w:type="dxa"/>
            <w:vAlign w:val="center"/>
          </w:tcPr>
          <w:p w14:paraId="52659F84" w14:textId="77777777" w:rsidR="0010101E" w:rsidRDefault="00000000">
            <w:pPr>
              <w:pStyle w:val="Contedodatabelauser"/>
              <w:widowControl/>
              <w:spacing w:after="0" w:line="331" w:lineRule="auto"/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</w:pPr>
            <w:r>
              <w:rPr>
                <w:rFonts w:ascii="Arial;sans-serif" w:eastAsiaTheme="majorEastAsia" w:hAnsi="Arial;sans-serif" w:cs="Calibri"/>
                <w:color w:val="000000"/>
                <w:sz w:val="24"/>
                <w:szCs w:val="32"/>
              </w:rPr>
              <w:t>Garantir tratamento de dados conforme RGPD e comunicação segura (SSL).</w:t>
            </w:r>
          </w:p>
        </w:tc>
      </w:tr>
    </w:tbl>
    <w:p w14:paraId="2838047D" w14:textId="77777777" w:rsidR="0010101E" w:rsidRDefault="00000000">
      <w:pPr>
        <w:rPr>
          <w:rFonts w:ascii="Calibri" w:eastAsiaTheme="majorEastAsia" w:hAnsi="Calibri" w:cs="Calibri"/>
          <w:b/>
          <w:sz w:val="24"/>
          <w:szCs w:val="32"/>
        </w:rPr>
      </w:pPr>
      <w:r>
        <w:br w:type="page"/>
      </w:r>
    </w:p>
    <w:p w14:paraId="0810EC55" w14:textId="77777777" w:rsidR="0010101E" w:rsidRDefault="0010101E">
      <w:pPr>
        <w:pStyle w:val="Heading1"/>
        <w:ind w:left="396"/>
        <w:jc w:val="left"/>
        <w:rPr>
          <w:rFonts w:ascii="Calibri" w:hAnsi="Calibri" w:cs="Calibri"/>
        </w:rPr>
      </w:pPr>
    </w:p>
    <w:p w14:paraId="0C471FD8" w14:textId="77777777" w:rsidR="0010101E" w:rsidRDefault="00000000">
      <w:pPr>
        <w:pStyle w:val="Heading1"/>
        <w:numPr>
          <w:ilvl w:val="0"/>
          <w:numId w:val="1"/>
        </w:numPr>
        <w:rPr>
          <w:rFonts w:ascii="Calibri" w:hAnsi="Calibri" w:cs="Calibri"/>
        </w:rPr>
      </w:pPr>
      <w:bookmarkStart w:id="6" w:name="_Toc180131255"/>
      <w:r>
        <w:rPr>
          <w:rFonts w:ascii="Calibri" w:hAnsi="Calibri" w:cs="Calibri"/>
        </w:rPr>
        <w:t>Avaliação da Usabilidade do Sistema</w:t>
      </w:r>
      <w:bookmarkEnd w:id="6"/>
    </w:p>
    <w:p w14:paraId="1F9D6655" w14:textId="77777777" w:rsidR="0010101E" w:rsidRDefault="0010101E">
      <w:pPr>
        <w:rPr>
          <w:rFonts w:ascii="Calibri" w:hAnsi="Calibri" w:cs="Calibri"/>
        </w:rPr>
      </w:pPr>
    </w:p>
    <w:p w14:paraId="746B7B94" w14:textId="77777777" w:rsidR="0010101E" w:rsidRDefault="0010101E">
      <w:pPr>
        <w:rPr>
          <w:rFonts w:ascii="Calibri" w:hAnsi="Calibri" w:cs="Calibri"/>
        </w:rPr>
      </w:pPr>
    </w:p>
    <w:p w14:paraId="5A70DF84" w14:textId="77777777" w:rsidR="0010101E" w:rsidRDefault="0010101E">
      <w:pPr>
        <w:rPr>
          <w:rFonts w:ascii="Calibri" w:hAnsi="Calibri" w:cs="Calibri"/>
          <w:lang w:eastAsia="pt-PT"/>
        </w:rPr>
      </w:pPr>
    </w:p>
    <w:p w14:paraId="373BA372" w14:textId="77777777" w:rsidR="0010101E" w:rsidRDefault="00000000">
      <w:pPr>
        <w:rPr>
          <w:rFonts w:ascii="Calibri" w:eastAsiaTheme="majorEastAsia" w:hAnsi="Calibri" w:cs="Calibri"/>
          <w:b/>
          <w:sz w:val="24"/>
          <w:szCs w:val="32"/>
          <w:lang w:eastAsia="pt-PT"/>
        </w:rPr>
      </w:pPr>
      <w:r>
        <w:rPr>
          <w:rFonts w:eastAsiaTheme="majorEastAsia" w:cs="Calibri"/>
          <w:b/>
          <w:sz w:val="24"/>
          <w:szCs w:val="32"/>
          <w:lang w:eastAsia="pt-PT"/>
        </w:rPr>
        <w:t>https://docs.google.com/forms/d/e/1FAIpQLSeWuwhOThUIkWJkPrlhxwG8hZTEdw3M2QaRrCunsmvHdJ6ghA/viewform?usp=publish-editor</w:t>
      </w:r>
      <w:r>
        <w:br w:type="page"/>
      </w:r>
    </w:p>
    <w:p w14:paraId="05FA13C0" w14:textId="77777777" w:rsidR="0010101E" w:rsidRDefault="0010101E">
      <w:pPr>
        <w:pStyle w:val="Heading1"/>
        <w:jc w:val="left"/>
        <w:rPr>
          <w:rFonts w:ascii="Calibri" w:hAnsi="Calibri" w:cs="Calibri"/>
          <w:lang w:eastAsia="pt-PT"/>
        </w:rPr>
      </w:pPr>
    </w:p>
    <w:p w14:paraId="65D45D3A" w14:textId="77777777" w:rsidR="0010101E" w:rsidRDefault="00000000">
      <w:pPr>
        <w:pStyle w:val="Heading1"/>
        <w:numPr>
          <w:ilvl w:val="0"/>
          <w:numId w:val="1"/>
        </w:numPr>
        <w:rPr>
          <w:rFonts w:ascii="Calibri" w:hAnsi="Calibri" w:cs="Calibri"/>
          <w:lang w:eastAsia="pt-PT"/>
        </w:rPr>
      </w:pPr>
      <w:bookmarkStart w:id="7" w:name="_Toc180131256"/>
      <w:r>
        <w:rPr>
          <w:rFonts w:ascii="Calibri" w:hAnsi="Calibri" w:cs="Calibri"/>
          <w:lang w:eastAsia="pt-PT"/>
        </w:rPr>
        <w:t>Análise/Discussão dos resultados</w:t>
      </w:r>
      <w:bookmarkEnd w:id="7"/>
    </w:p>
    <w:p w14:paraId="2624665A" w14:textId="77777777" w:rsidR="009E5E57" w:rsidRDefault="009E5E57" w:rsidP="009E5E57">
      <w:pPr>
        <w:rPr>
          <w:lang w:eastAsia="pt-PT"/>
        </w:rPr>
      </w:pPr>
    </w:p>
    <w:p w14:paraId="464B3747" w14:textId="552D0B49" w:rsidR="00D4105D" w:rsidRDefault="00D4105D" w:rsidP="00D4105D">
      <w:pPr>
        <w:pStyle w:val="Ttulouser"/>
        <w:rPr>
          <w:lang w:eastAsia="pt-PT"/>
        </w:rPr>
      </w:pPr>
      <w:r>
        <w:rPr>
          <w:lang w:eastAsia="pt-PT"/>
        </w:rPr>
        <w:t xml:space="preserve">Resultados obtidos no </w:t>
      </w:r>
      <w:r w:rsidRPr="00D4105D">
        <w:rPr>
          <w:lang w:eastAsia="pt-PT"/>
        </w:rPr>
        <w:t xml:space="preserve">SUS – </w:t>
      </w:r>
      <w:proofErr w:type="spellStart"/>
      <w:r w:rsidRPr="00D4105D">
        <w:rPr>
          <w:lang w:eastAsia="pt-PT"/>
        </w:rPr>
        <w:t>System</w:t>
      </w:r>
      <w:proofErr w:type="spellEnd"/>
      <w:r w:rsidRPr="00D4105D">
        <w:rPr>
          <w:lang w:eastAsia="pt-PT"/>
        </w:rPr>
        <w:t xml:space="preserve"> </w:t>
      </w:r>
      <w:proofErr w:type="spellStart"/>
      <w:r w:rsidRPr="00D4105D">
        <w:rPr>
          <w:lang w:eastAsia="pt-PT"/>
        </w:rPr>
        <w:t>Usability</w:t>
      </w:r>
      <w:proofErr w:type="spellEnd"/>
      <w:r w:rsidRPr="00D4105D">
        <w:rPr>
          <w:lang w:eastAsia="pt-PT"/>
        </w:rPr>
        <w:t xml:space="preserve"> </w:t>
      </w:r>
      <w:proofErr w:type="spellStart"/>
      <w:r w:rsidRPr="00D4105D">
        <w:rPr>
          <w:lang w:eastAsia="pt-PT"/>
        </w:rPr>
        <w:t>Scale</w:t>
      </w:r>
      <w:proofErr w:type="spellEnd"/>
      <w:r w:rsidRPr="00D4105D">
        <w:rPr>
          <w:lang w:eastAsia="pt-PT"/>
        </w:rPr>
        <w:t xml:space="preserve">  </w:t>
      </w:r>
    </w:p>
    <w:p w14:paraId="0CC69144" w14:textId="2A0CC0BF" w:rsidR="00D4105D" w:rsidRP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t>Os resultados obtidos na etapa 5 correspondem à avaliação da usabilidade do sistema com base nos testes realizados pelos utilizadores. Através dos cálculos efetuados, foi possível determinar o score individual de cada participante e, posteriormente, a média global de usabilidade do sistema.</w:t>
      </w:r>
    </w:p>
    <w:p w14:paraId="38BF8617" w14:textId="77777777" w:rsidR="00D4105D" w:rsidRP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t xml:space="preserve">Os scores por utilizador foram os seguintes: </w:t>
      </w:r>
      <w:r w:rsidRPr="00D4105D">
        <w:rPr>
          <w:b/>
          <w:bCs/>
          <w:lang w:eastAsia="pt-PT"/>
        </w:rPr>
        <w:t>72,5; 70; 30; 92,5; 80; 90</w:t>
      </w:r>
      <w:r w:rsidRPr="00D4105D">
        <w:rPr>
          <w:lang w:eastAsia="pt-PT"/>
        </w:rPr>
        <w:t>. Estes valores evidenciam alguma variabilidade na perceção da usabilidade do sistema. A maioria dos utilizadores atribuiu pontuações elevadas, superiores a 70, indicando uma experiência globalmente positiva, facilidade de utilização e boa aceitação do sistema.</w:t>
      </w:r>
    </w:p>
    <w:p w14:paraId="2687F686" w14:textId="77777777" w:rsidR="00D4105D" w:rsidRP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t>No entanto, destaca-se um score significativamente mais baixo (</w:t>
      </w:r>
      <w:r w:rsidRPr="00D4105D">
        <w:rPr>
          <w:b/>
          <w:bCs/>
          <w:lang w:eastAsia="pt-PT"/>
        </w:rPr>
        <w:t>30</w:t>
      </w:r>
      <w:r w:rsidRPr="00D4105D">
        <w:rPr>
          <w:lang w:eastAsia="pt-PT"/>
        </w:rPr>
        <w:t>), que sugere que pelo menos um utilizador encontrou dificuldades relevantes durante a utilização do sistema. Este resultado pode estar associado a problemas específicos de navegação, compreensão da interface ou falta de familiaridade com o sistema, devendo ser analisado com maior detalhe.</w:t>
      </w:r>
    </w:p>
    <w:p w14:paraId="017861FC" w14:textId="00CFFD20" w:rsid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t xml:space="preserve">A </w:t>
      </w:r>
      <w:r w:rsidRPr="00D4105D">
        <w:rPr>
          <w:b/>
          <w:bCs/>
          <w:lang w:eastAsia="pt-PT"/>
        </w:rPr>
        <w:t>média global obtida foi de 76,25</w:t>
      </w:r>
      <w:r w:rsidRPr="00D4105D">
        <w:rPr>
          <w:lang w:eastAsia="pt-PT"/>
        </w:rPr>
        <w:t xml:space="preserve">, o que, de acordo com os referenciais comuns de avaliação de usabilidade (como o SUS – </w:t>
      </w:r>
      <w:proofErr w:type="spellStart"/>
      <w:r w:rsidRPr="00D4105D">
        <w:rPr>
          <w:i/>
          <w:iCs/>
          <w:lang w:eastAsia="pt-PT"/>
        </w:rPr>
        <w:t>System</w:t>
      </w:r>
      <w:proofErr w:type="spellEnd"/>
      <w:r w:rsidRPr="00D4105D">
        <w:rPr>
          <w:i/>
          <w:iCs/>
          <w:lang w:eastAsia="pt-PT"/>
        </w:rPr>
        <w:t xml:space="preserve"> </w:t>
      </w:r>
      <w:proofErr w:type="spellStart"/>
      <w:r w:rsidRPr="00D4105D">
        <w:rPr>
          <w:i/>
          <w:iCs/>
          <w:lang w:eastAsia="pt-PT"/>
        </w:rPr>
        <w:t>Usability</w:t>
      </w:r>
      <w:proofErr w:type="spellEnd"/>
      <w:r w:rsidRPr="00D4105D">
        <w:rPr>
          <w:i/>
          <w:iCs/>
          <w:lang w:eastAsia="pt-PT"/>
        </w:rPr>
        <w:t xml:space="preserve"> </w:t>
      </w:r>
      <w:proofErr w:type="spellStart"/>
      <w:r w:rsidRPr="00D4105D">
        <w:rPr>
          <w:i/>
          <w:iCs/>
          <w:lang w:eastAsia="pt-PT"/>
        </w:rPr>
        <w:t>Scale</w:t>
      </w:r>
      <w:proofErr w:type="spellEnd"/>
      <w:r w:rsidRPr="00D4105D">
        <w:rPr>
          <w:lang w:eastAsia="pt-PT"/>
        </w:rPr>
        <w:t xml:space="preserve">), indica uma </w:t>
      </w:r>
      <w:r w:rsidRPr="00D4105D">
        <w:rPr>
          <w:b/>
          <w:bCs/>
          <w:lang w:eastAsia="pt-PT"/>
        </w:rPr>
        <w:t>boa usabilidade</w:t>
      </w:r>
      <w:r w:rsidRPr="00D4105D">
        <w:rPr>
          <w:lang w:eastAsia="pt-PT"/>
        </w:rPr>
        <w:t>, acima do valor de referência geralmente aceite (68). Assim, pode concluir-se que o sistema apresenta uma usabilidade satisfatória e é, de forma geral, bem aceite pelos utilizadores.</w:t>
      </w:r>
    </w:p>
    <w:p w14:paraId="3320D3C6" w14:textId="77777777" w:rsidR="00D4105D" w:rsidRP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t>Para a análise da usabilidade do sistema, os dados recolhidos junto dos utilizadores foram tratados através de fórmulas que permitiram calcular os valores das respostas positivas, negativas e, posteriormente, a normalização do resultado final.</w:t>
      </w:r>
    </w:p>
    <w:p w14:paraId="0D69349A" w14:textId="77777777" w:rsidR="00D4105D" w:rsidRP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t xml:space="preserve">No cálculo dos </w:t>
      </w:r>
      <w:r w:rsidRPr="00D4105D">
        <w:rPr>
          <w:b/>
          <w:bCs/>
          <w:lang w:eastAsia="pt-PT"/>
        </w:rPr>
        <w:t>valores positivos</w:t>
      </w:r>
      <w:r w:rsidRPr="00D4105D">
        <w:rPr>
          <w:lang w:eastAsia="pt-PT"/>
        </w:rPr>
        <w:t>, foi utilizada a seguinte expressão:</w:t>
      </w:r>
    </w:p>
    <w:p w14:paraId="1813B5BA" w14:textId="77777777" w:rsidR="00D4105D" w:rsidRP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t>=SE(E(B2&lt;&gt;""; K2&lt;&gt;""); (B2-1) +(D2-1) +(F2-1) +(H2-1) +(J2-1); "")</w:t>
      </w:r>
    </w:p>
    <w:p w14:paraId="472F5E20" w14:textId="77777777" w:rsidR="00D4105D" w:rsidRP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t>Esta fórmula considera apenas as respostas válidas e aplica a metodologia de avaliação da usabilidade, subtraindo 1 aos valores correspondentes às questões de caráter positivo. Este procedimento permite ajustar a escala de respostas para que contribua corretamente para o score final.</w:t>
      </w:r>
    </w:p>
    <w:p w14:paraId="7F3AC0A2" w14:textId="77777777" w:rsidR="00D4105D" w:rsidRP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t xml:space="preserve">Para os </w:t>
      </w:r>
      <w:r w:rsidRPr="00D4105D">
        <w:rPr>
          <w:b/>
          <w:bCs/>
          <w:lang w:eastAsia="pt-PT"/>
        </w:rPr>
        <w:t>valores negativos</w:t>
      </w:r>
      <w:r w:rsidRPr="00D4105D">
        <w:rPr>
          <w:lang w:eastAsia="pt-PT"/>
        </w:rPr>
        <w:t>, foi utilizada a seguinte expressão:</w:t>
      </w:r>
    </w:p>
    <w:p w14:paraId="0BFD08A2" w14:textId="77777777" w:rsidR="00D4105D" w:rsidRP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t>=SE(E(C2&lt;&gt;""; K2&lt;&gt;""); (5-C2) +(5-E2) +(5-G2) +(5-I2) +(5-K2); "")</w:t>
      </w:r>
    </w:p>
    <w:p w14:paraId="0540D30C" w14:textId="77777777" w:rsidR="00D4105D" w:rsidRP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t>Neste caso, as respostas às questões de caráter negativo são invertidas, subtraindo cada valor a 5. Este passo é fundamental para garantir que todas as questões contribuem de forma consistente para a pontuação global, transformando respostas negativas em valores comparáveis às positivas.</w:t>
      </w:r>
    </w:p>
    <w:p w14:paraId="22ED1C92" w14:textId="77777777" w:rsidR="00D4105D" w:rsidRP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t xml:space="preserve">Após o cálculo dos valores positivos e negativos, procedeu-se à </w:t>
      </w:r>
      <w:r w:rsidRPr="00D4105D">
        <w:rPr>
          <w:b/>
          <w:bCs/>
          <w:lang w:eastAsia="pt-PT"/>
        </w:rPr>
        <w:t>soma e normalização dos resultados</w:t>
      </w:r>
      <w:r w:rsidRPr="00D4105D">
        <w:rPr>
          <w:lang w:eastAsia="pt-PT"/>
        </w:rPr>
        <w:t>, utilizando a seguinte fórmula:</w:t>
      </w:r>
    </w:p>
    <w:p w14:paraId="7D6DE321" w14:textId="77777777" w:rsidR="00D4105D" w:rsidRP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t xml:space="preserve">=SE(E(L2&lt;&gt;""; M2&lt;&gt;""); </w:t>
      </w:r>
      <w:proofErr w:type="gramStart"/>
      <w:r w:rsidRPr="00D4105D">
        <w:rPr>
          <w:lang w:eastAsia="pt-PT"/>
        </w:rPr>
        <w:t>SOMA(</w:t>
      </w:r>
      <w:proofErr w:type="gramEnd"/>
      <w:r w:rsidRPr="00D4105D">
        <w:rPr>
          <w:lang w:eastAsia="pt-PT"/>
        </w:rPr>
        <w:t>L2:M2) * 2,5; "")</w:t>
      </w:r>
    </w:p>
    <w:p w14:paraId="7BAF5DE0" w14:textId="77777777" w:rsidR="00D4105D" w:rsidRP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lastRenderedPageBreak/>
        <w:t xml:space="preserve">A soma dos valores positivos e negativos é multiplicada por </w:t>
      </w:r>
      <w:r w:rsidRPr="00D4105D">
        <w:rPr>
          <w:b/>
          <w:bCs/>
          <w:lang w:eastAsia="pt-PT"/>
        </w:rPr>
        <w:t>2,5</w:t>
      </w:r>
      <w:r w:rsidRPr="00D4105D">
        <w:rPr>
          <w:lang w:eastAsia="pt-PT"/>
        </w:rPr>
        <w:t xml:space="preserve">, permitindo a normalização do resultado final numa escala de </w:t>
      </w:r>
      <w:r w:rsidRPr="00D4105D">
        <w:rPr>
          <w:b/>
          <w:bCs/>
          <w:lang w:eastAsia="pt-PT"/>
        </w:rPr>
        <w:t>0 a 100</w:t>
      </w:r>
      <w:r w:rsidRPr="00D4105D">
        <w:rPr>
          <w:lang w:eastAsia="pt-PT"/>
        </w:rPr>
        <w:t xml:space="preserve">, amplamente utilizada em avaliações de usabilidade, como o </w:t>
      </w:r>
      <w:proofErr w:type="spellStart"/>
      <w:r w:rsidRPr="00D4105D">
        <w:rPr>
          <w:i/>
          <w:iCs/>
          <w:lang w:eastAsia="pt-PT"/>
        </w:rPr>
        <w:t>System</w:t>
      </w:r>
      <w:proofErr w:type="spellEnd"/>
      <w:r w:rsidRPr="00D4105D">
        <w:rPr>
          <w:i/>
          <w:iCs/>
          <w:lang w:eastAsia="pt-PT"/>
        </w:rPr>
        <w:t xml:space="preserve"> </w:t>
      </w:r>
      <w:proofErr w:type="spellStart"/>
      <w:r w:rsidRPr="00D4105D">
        <w:rPr>
          <w:i/>
          <w:iCs/>
          <w:lang w:eastAsia="pt-PT"/>
        </w:rPr>
        <w:t>Usability</w:t>
      </w:r>
      <w:proofErr w:type="spellEnd"/>
      <w:r w:rsidRPr="00D4105D">
        <w:rPr>
          <w:i/>
          <w:iCs/>
          <w:lang w:eastAsia="pt-PT"/>
        </w:rPr>
        <w:t xml:space="preserve"> </w:t>
      </w:r>
      <w:proofErr w:type="spellStart"/>
      <w:r w:rsidRPr="00D4105D">
        <w:rPr>
          <w:i/>
          <w:iCs/>
          <w:lang w:eastAsia="pt-PT"/>
        </w:rPr>
        <w:t>Scale</w:t>
      </w:r>
      <w:proofErr w:type="spellEnd"/>
      <w:r w:rsidRPr="00D4105D">
        <w:rPr>
          <w:i/>
          <w:iCs/>
          <w:lang w:eastAsia="pt-PT"/>
        </w:rPr>
        <w:t xml:space="preserve"> (SUS)</w:t>
      </w:r>
      <w:r w:rsidRPr="00D4105D">
        <w:rPr>
          <w:lang w:eastAsia="pt-PT"/>
        </w:rPr>
        <w:t>.</w:t>
      </w:r>
    </w:p>
    <w:p w14:paraId="42756185" w14:textId="071B58B4" w:rsidR="00D4105D" w:rsidRDefault="00D4105D" w:rsidP="00D4105D">
      <w:pPr>
        <w:jc w:val="both"/>
        <w:rPr>
          <w:lang w:eastAsia="pt-PT"/>
        </w:rPr>
      </w:pPr>
      <w:r>
        <w:rPr>
          <w:lang w:eastAsia="pt-PT"/>
        </w:rPr>
        <w:t>A média que aparece na coluna “P” usou a seguinte expressão:</w:t>
      </w:r>
    </w:p>
    <w:p w14:paraId="09E77BE8" w14:textId="108916CD" w:rsidR="00D4105D" w:rsidRPr="00D4105D" w:rsidRDefault="00D4105D" w:rsidP="00D4105D">
      <w:pPr>
        <w:jc w:val="both"/>
        <w:rPr>
          <w:lang w:eastAsia="pt-PT"/>
        </w:rPr>
      </w:pPr>
      <w:r>
        <w:rPr>
          <w:lang w:eastAsia="pt-PT"/>
        </w:rPr>
        <w:t xml:space="preserve"> </w:t>
      </w:r>
      <w:r w:rsidRPr="00D4105D">
        <w:rPr>
          <w:lang w:eastAsia="pt-PT"/>
        </w:rPr>
        <w:t>=</w:t>
      </w:r>
      <w:proofErr w:type="gramStart"/>
      <w:r w:rsidRPr="00D4105D">
        <w:rPr>
          <w:lang w:eastAsia="pt-PT"/>
        </w:rPr>
        <w:t>MED(</w:t>
      </w:r>
      <w:proofErr w:type="gramEnd"/>
      <w:r w:rsidRPr="00D4105D">
        <w:rPr>
          <w:lang w:eastAsia="pt-PT"/>
        </w:rPr>
        <w:t>N2:N7)</w:t>
      </w:r>
    </w:p>
    <w:p w14:paraId="0422A37E" w14:textId="77777777" w:rsidR="00D4105D" w:rsidRPr="00D4105D" w:rsidRDefault="00D4105D" w:rsidP="00D4105D">
      <w:pPr>
        <w:jc w:val="both"/>
        <w:rPr>
          <w:lang w:eastAsia="pt-PT"/>
        </w:rPr>
      </w:pPr>
      <w:r w:rsidRPr="00D4105D">
        <w:rPr>
          <w:lang w:eastAsia="pt-PT"/>
        </w:rPr>
        <w:t>Ainda assim, a discrepância entre os resultados sugere a necessidade de melhorias pontuais, especialmente direcionadas aos aspetos que possam ter causado dificuldades a alguns utilizadores, contribuindo para tornar o sistema mais intuitivo e consistente para diferentes perfis de utilização.</w:t>
      </w:r>
    </w:p>
    <w:p w14:paraId="2DF35C7B" w14:textId="77777777" w:rsidR="009E5E57" w:rsidRDefault="009E5E57" w:rsidP="009E5E57">
      <w:pPr>
        <w:rPr>
          <w:lang w:eastAsia="pt-PT"/>
        </w:rPr>
      </w:pPr>
    </w:p>
    <w:p w14:paraId="7B5CD623" w14:textId="2EE93C65" w:rsidR="00D4105D" w:rsidRDefault="00D4105D" w:rsidP="009E5E57">
      <w:pPr>
        <w:rPr>
          <w:lang w:eastAsia="pt-PT"/>
        </w:rPr>
      </w:pPr>
      <w:r w:rsidRPr="00D4105D">
        <w:rPr>
          <w:lang w:eastAsia="pt-PT"/>
        </w:rPr>
        <w:drawing>
          <wp:inline distT="0" distB="0" distL="0" distR="0" wp14:anchorId="44BEC5FC" wp14:editId="3668232F">
            <wp:extent cx="5400040" cy="16808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337A" w14:textId="77777777" w:rsidR="00D4105D" w:rsidRDefault="00D4105D" w:rsidP="009E5E57">
      <w:pPr>
        <w:rPr>
          <w:lang w:eastAsia="pt-PT"/>
        </w:rPr>
      </w:pPr>
    </w:p>
    <w:p w14:paraId="507A0595" w14:textId="77777777" w:rsidR="00D4105D" w:rsidRDefault="00D4105D" w:rsidP="009E5E57">
      <w:pPr>
        <w:rPr>
          <w:lang w:eastAsia="pt-PT"/>
        </w:rPr>
      </w:pPr>
    </w:p>
    <w:p w14:paraId="2E93D3DF" w14:textId="651A7145" w:rsidR="00D4105D" w:rsidRDefault="00D4105D" w:rsidP="00D4105D">
      <w:pPr>
        <w:pStyle w:val="Ttulouser"/>
        <w:rPr>
          <w:lang w:eastAsia="pt-PT"/>
        </w:rPr>
      </w:pPr>
      <w:r w:rsidRPr="00D4105D">
        <w:rPr>
          <w:lang w:eastAsia="pt-PT"/>
        </w:rPr>
        <w:t>Justificação das principais opções tomadas no desenvolvimento da interface</w:t>
      </w:r>
    </w:p>
    <w:p w14:paraId="34E3833A" w14:textId="77777777" w:rsidR="00D4105D" w:rsidRDefault="00D4105D" w:rsidP="00D4105D">
      <w:pPr>
        <w:pStyle w:val="BodyText"/>
        <w:rPr>
          <w:lang w:eastAsia="pt-PT"/>
        </w:rPr>
      </w:pPr>
    </w:p>
    <w:p w14:paraId="42818EF6" w14:textId="77777777" w:rsidR="00F62D5E" w:rsidRPr="00F62D5E" w:rsidRDefault="00F62D5E" w:rsidP="00F62D5E">
      <w:pPr>
        <w:pStyle w:val="BodyText"/>
        <w:jc w:val="both"/>
        <w:rPr>
          <w:lang w:eastAsia="pt-PT"/>
        </w:rPr>
      </w:pPr>
      <w:r w:rsidRPr="00F62D5E">
        <w:rPr>
          <w:lang w:eastAsia="pt-PT"/>
        </w:rPr>
        <w:t xml:space="preserve">Todo o código HTML tem como único propósito servir de meio para a exposição do objeto 3D animado. Por esse motivo, o mesmo foi obtido a partir do site da </w:t>
      </w:r>
      <w:proofErr w:type="spellStart"/>
      <w:r w:rsidRPr="00F62D5E">
        <w:rPr>
          <w:lang w:eastAsia="pt-PT"/>
        </w:rPr>
        <w:t>Laredout</w:t>
      </w:r>
      <w:proofErr w:type="spellEnd"/>
      <w:r w:rsidRPr="00F62D5E">
        <w:rPr>
          <w:lang w:eastAsia="pt-PT"/>
        </w:rPr>
        <w:t>. De forma semelhante, o código CSS foi extraído diretamente do navegador. Todos os scripts que não contribuíam para a definição do aspeto visual da página foram removidos, uma vez que não eram relevantes para os objetivos do projeto. Adicionalmente, os links externos presentes no CSS foram desativados e o código JavaScript foi configurado para redirecionar sempre para a página do produto em questão, tendo em consideração que a disciplina não tem como foco o desenvolvimento web.</w:t>
      </w:r>
    </w:p>
    <w:p w14:paraId="7F563A19" w14:textId="77777777" w:rsidR="00F62D5E" w:rsidRPr="00F62D5E" w:rsidRDefault="00F62D5E" w:rsidP="00F62D5E">
      <w:pPr>
        <w:pStyle w:val="BodyText"/>
        <w:jc w:val="both"/>
        <w:rPr>
          <w:lang w:eastAsia="pt-PT"/>
        </w:rPr>
      </w:pPr>
      <w:r w:rsidRPr="00F62D5E">
        <w:rPr>
          <w:lang w:eastAsia="pt-PT"/>
        </w:rPr>
        <w:t xml:space="preserve">A página do gira-discos foi implementada sob a forma de uma </w:t>
      </w:r>
      <w:r w:rsidRPr="00F62D5E">
        <w:rPr>
          <w:b/>
          <w:bCs/>
          <w:lang w:eastAsia="pt-PT"/>
        </w:rPr>
        <w:t>janela pop-up</w:t>
      </w:r>
      <w:r w:rsidRPr="00F62D5E">
        <w:rPr>
          <w:lang w:eastAsia="pt-PT"/>
        </w:rPr>
        <w:t xml:space="preserve">, uma vez que o código HTML utilizado não é da minha autoria. Esta abordagem permitiu evitar problemas relacionados com a quebra de </w:t>
      </w:r>
      <w:proofErr w:type="spellStart"/>
      <w:r w:rsidRPr="00F62D5E">
        <w:rPr>
          <w:i/>
          <w:iCs/>
          <w:lang w:eastAsia="pt-PT"/>
        </w:rPr>
        <w:t>divs</w:t>
      </w:r>
      <w:proofErr w:type="spellEnd"/>
      <w:r w:rsidRPr="00F62D5E">
        <w:rPr>
          <w:lang w:eastAsia="pt-PT"/>
        </w:rPr>
        <w:t xml:space="preserve"> decorrentes das variações no tamanho da janela, assegurando assim uma apresentação mais estável do modelo do toca-discos.</w:t>
      </w:r>
    </w:p>
    <w:p w14:paraId="29FFBCE8" w14:textId="77777777" w:rsidR="00F62D5E" w:rsidRPr="00F62D5E" w:rsidRDefault="00F62D5E" w:rsidP="00F62D5E">
      <w:pPr>
        <w:pStyle w:val="BodyText"/>
        <w:jc w:val="both"/>
        <w:rPr>
          <w:lang w:eastAsia="pt-PT"/>
        </w:rPr>
      </w:pPr>
      <w:r w:rsidRPr="00F62D5E">
        <w:rPr>
          <w:lang w:eastAsia="pt-PT"/>
        </w:rPr>
        <w:t xml:space="preserve">Na janela dedicada ao toca-discos, optou-se por representar as ações através de ícones, organizados em três categorias distintas. A primeira categoria inclui três ícones relacionados com a interação direta com o objeto 3D: abrir e fechar a tampa, girar o disco e posicionar a agulha. A segunda categoria é composta por quatro botões destinados ao controlo das </w:t>
      </w:r>
      <w:r w:rsidRPr="00F62D5E">
        <w:rPr>
          <w:lang w:eastAsia="pt-PT"/>
        </w:rPr>
        <w:lastRenderedPageBreak/>
        <w:t>animações, permitindo pausar, continuar, reiniciar ou parar a execução. Este último botão repõe todas as animações no seu estado inicial. Por fim, a terceira categoria integra três botões responsáveis pela alteração da cor, do material do objeto e pela reversão das alterações efetuadas.</w:t>
      </w:r>
    </w:p>
    <w:p w14:paraId="52FED271" w14:textId="77777777" w:rsidR="00F62D5E" w:rsidRPr="00F62D5E" w:rsidRDefault="00F62D5E" w:rsidP="00F62D5E">
      <w:pPr>
        <w:pStyle w:val="BodyText"/>
        <w:jc w:val="both"/>
        <w:rPr>
          <w:lang w:eastAsia="pt-PT"/>
        </w:rPr>
      </w:pPr>
      <w:r w:rsidRPr="00F62D5E">
        <w:rPr>
          <w:lang w:eastAsia="pt-PT"/>
        </w:rPr>
        <w:t xml:space="preserve">Relativamente ao código JavaScript, foi utilizado o </w:t>
      </w:r>
      <w:proofErr w:type="spellStart"/>
      <w:r w:rsidRPr="00F62D5E">
        <w:rPr>
          <w:i/>
          <w:iCs/>
          <w:lang w:eastAsia="pt-PT"/>
        </w:rPr>
        <w:t>template</w:t>
      </w:r>
      <w:proofErr w:type="spellEnd"/>
      <w:r w:rsidRPr="00F62D5E">
        <w:rPr>
          <w:lang w:eastAsia="pt-PT"/>
        </w:rPr>
        <w:t xml:space="preserve"> disponibilizado pelos docentes para este efeito. A estrutura segue o mesmo padrão adotado nas aulas, apresentando apenas uma diferença relevante. Inicialmente, o objetivo consistia na implementação de dois tipos de animação: uma animação sequencial, destinada à demonstração do produto através de uma sequência de passos predefinidos, e animações individuais, correspondentes às funcionalidades disponibilizadas no produto final.</w:t>
      </w:r>
    </w:p>
    <w:p w14:paraId="14DC21CE" w14:textId="77777777" w:rsidR="00F62D5E" w:rsidRPr="00F62D5E" w:rsidRDefault="00F62D5E" w:rsidP="00F62D5E">
      <w:pPr>
        <w:pStyle w:val="BodyText"/>
        <w:jc w:val="both"/>
        <w:rPr>
          <w:lang w:eastAsia="pt-PT"/>
        </w:rPr>
      </w:pPr>
      <w:r w:rsidRPr="00F62D5E">
        <w:rPr>
          <w:lang w:eastAsia="pt-PT"/>
        </w:rPr>
        <w:t xml:space="preserve">Uma vez que se tratava de animações distintas, criadas sobre o mesmo </w:t>
      </w:r>
      <w:proofErr w:type="spellStart"/>
      <w:r w:rsidRPr="00F62D5E">
        <w:rPr>
          <w:i/>
          <w:iCs/>
          <w:lang w:eastAsia="pt-PT"/>
        </w:rPr>
        <w:t>mixer</w:t>
      </w:r>
      <w:proofErr w:type="spellEnd"/>
      <w:r w:rsidRPr="00F62D5E">
        <w:rPr>
          <w:lang w:eastAsia="pt-PT"/>
        </w:rPr>
        <w:t xml:space="preserve">, foi considerada a implementação de um gestor de animações segundo o padrão </w:t>
      </w:r>
      <w:proofErr w:type="spellStart"/>
      <w:r w:rsidRPr="00F62D5E">
        <w:rPr>
          <w:i/>
          <w:iCs/>
          <w:lang w:eastAsia="pt-PT"/>
        </w:rPr>
        <w:t>singleton</w:t>
      </w:r>
      <w:proofErr w:type="spellEnd"/>
      <w:r w:rsidRPr="00F62D5E">
        <w:rPr>
          <w:lang w:eastAsia="pt-PT"/>
        </w:rPr>
        <w:t>. Contudo, devido a limitações iniciais na exportação das animações a partir do Blender, as animações sequenciais acabaram por ser removidas. Ainda assim, como o gestor de animações já se encontrava implementado, optou-se por mantê-lo, uma vez que esta solução permite uma futura expansão do sistema sem conflitos, garantindo que toda a gestão das animações é centralizada neste componente.</w:t>
      </w:r>
    </w:p>
    <w:p w14:paraId="3AAC942B" w14:textId="77777777" w:rsidR="00F84FB1" w:rsidRPr="00D4105D" w:rsidRDefault="00F84FB1" w:rsidP="00D4105D">
      <w:pPr>
        <w:pStyle w:val="BodyText"/>
        <w:rPr>
          <w:lang w:eastAsia="pt-PT"/>
        </w:rPr>
      </w:pPr>
    </w:p>
    <w:sectPr w:rsidR="00F84FB1" w:rsidRPr="00D4105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18" w:right="1701" w:bottom="1418" w:left="1701" w:header="709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A23D64" w14:textId="77777777" w:rsidR="00C26E69" w:rsidRDefault="00C26E69">
      <w:pPr>
        <w:spacing w:after="0" w:line="240" w:lineRule="auto"/>
      </w:pPr>
      <w:r>
        <w:separator/>
      </w:r>
    </w:p>
  </w:endnote>
  <w:endnote w:type="continuationSeparator" w:id="0">
    <w:p w14:paraId="51C661A3" w14:textId="77777777" w:rsidR="00C26E69" w:rsidRDefault="00C26E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charset w:val="00"/>
    <w:family w:val="roman"/>
    <w:pitch w:val="variable"/>
  </w:font>
  <w:font w:name="TimesNewRomanPS-BoldMT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;sans-serif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0B95A0" w14:textId="77777777" w:rsidR="0010101E" w:rsidRDefault="001010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66790026"/>
      <w:docPartObj>
        <w:docPartGallery w:val="Page Numbers (Bottom of Page)"/>
        <w:docPartUnique/>
      </w:docPartObj>
    </w:sdtPr>
    <w:sdtContent>
      <w:p w14:paraId="233C3407" w14:textId="77777777" w:rsidR="0010101E" w:rsidRDefault="00000000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8</w:t>
        </w:r>
        <w:r>
          <w:fldChar w:fldCharType="end"/>
        </w:r>
      </w:p>
    </w:sdtContent>
  </w:sdt>
  <w:p w14:paraId="57A4C835" w14:textId="77777777" w:rsidR="0010101E" w:rsidRDefault="0010101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529101" w14:textId="77777777" w:rsidR="0010101E" w:rsidRDefault="001010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73921B" w14:textId="77777777" w:rsidR="00C26E69" w:rsidRDefault="00C26E69">
      <w:pPr>
        <w:spacing w:after="0" w:line="240" w:lineRule="auto"/>
      </w:pPr>
      <w:r>
        <w:separator/>
      </w:r>
    </w:p>
  </w:footnote>
  <w:footnote w:type="continuationSeparator" w:id="0">
    <w:p w14:paraId="4F3D1C25" w14:textId="77777777" w:rsidR="00C26E69" w:rsidRDefault="00C26E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C3895" w14:textId="77777777" w:rsidR="0010101E" w:rsidRDefault="001010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E81A4" w14:textId="77777777" w:rsidR="0010101E" w:rsidRDefault="00000000">
    <w:pPr>
      <w:pStyle w:val="Header"/>
      <w:tabs>
        <w:tab w:val="left" w:pos="900"/>
        <w:tab w:val="right" w:pos="6734"/>
      </w:tabs>
      <w:jc w:val="right"/>
      <w:rPr>
        <w:sz w:val="16"/>
        <w:szCs w:val="16"/>
      </w:rPr>
    </w:pPr>
    <w:r>
      <w:rPr>
        <w:noProof/>
      </w:rPr>
      <w:drawing>
        <wp:anchor distT="0" distB="0" distL="114300" distR="114300" simplePos="0" relativeHeight="3" behindDoc="0" locked="0" layoutInCell="0" allowOverlap="1" wp14:anchorId="47226EAD" wp14:editId="0EFCB400">
          <wp:simplePos x="0" y="0"/>
          <wp:positionH relativeFrom="margin">
            <wp:posOffset>-304800</wp:posOffset>
          </wp:positionH>
          <wp:positionV relativeFrom="paragraph">
            <wp:posOffset>22225</wp:posOffset>
          </wp:positionV>
          <wp:extent cx="1554480" cy="307975"/>
          <wp:effectExtent l="0" t="0" r="0" b="0"/>
          <wp:wrapTight wrapText="bothSides">
            <wp:wrapPolygon edited="0">
              <wp:start x="-2" y="0"/>
              <wp:lineTo x="-2" y="20048"/>
              <wp:lineTo x="21442" y="20048"/>
              <wp:lineTo x="21442" y="0"/>
              <wp:lineTo x="-2" y="0"/>
            </wp:wrapPolygon>
          </wp:wrapTight>
          <wp:docPr id="1" name="Imagem 53" descr="Ver a imagem de orig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53" descr="Ver a imagem de origem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54480" cy="3079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ab/>
    </w:r>
    <w:r>
      <w:rPr>
        <w:sz w:val="16"/>
        <w:szCs w:val="16"/>
      </w:rPr>
      <w:t>Licenciatura em Eng. Informática</w:t>
    </w:r>
  </w:p>
  <w:p w14:paraId="03D06732" w14:textId="77777777" w:rsidR="0010101E" w:rsidRDefault="00000000">
    <w:pPr>
      <w:pStyle w:val="Header"/>
      <w:tabs>
        <w:tab w:val="left" w:pos="900"/>
        <w:tab w:val="right" w:pos="6734"/>
      </w:tabs>
      <w:jc w:val="right"/>
      <w:rPr>
        <w:sz w:val="16"/>
        <w:szCs w:val="16"/>
      </w:rPr>
    </w:pPr>
    <w:r>
      <w:rPr>
        <w:sz w:val="16"/>
        <w:szCs w:val="16"/>
      </w:rPr>
      <w:t>Ano Letivo 2025/2026</w:t>
    </w:r>
  </w:p>
  <w:p w14:paraId="6D138AE1" w14:textId="77777777" w:rsidR="0010101E" w:rsidRDefault="00000000">
    <w:pPr>
      <w:pStyle w:val="Header"/>
      <w:tabs>
        <w:tab w:val="left" w:pos="900"/>
        <w:tab w:val="right" w:pos="6734"/>
      </w:tabs>
      <w:jc w:val="right"/>
      <w:rPr>
        <w:sz w:val="16"/>
        <w:szCs w:val="16"/>
      </w:rPr>
    </w:pPr>
    <w:r>
      <w:rPr>
        <w:sz w:val="16"/>
        <w:szCs w:val="16"/>
      </w:rPr>
      <w:t>Sistemas Gráficos e Interação – Projeto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5CEFE" w14:textId="77777777" w:rsidR="0010101E" w:rsidRDefault="00000000">
    <w:pPr>
      <w:pStyle w:val="Header"/>
      <w:tabs>
        <w:tab w:val="clear" w:pos="4252"/>
        <w:tab w:val="clear" w:pos="8504"/>
        <w:tab w:val="left" w:pos="815"/>
        <w:tab w:val="left" w:pos="6950"/>
        <w:tab w:val="left" w:pos="7613"/>
      </w:tabs>
    </w:pPr>
    <w:r>
      <w:rPr>
        <w:noProof/>
      </w:rPr>
      <w:drawing>
        <wp:anchor distT="0" distB="0" distL="114300" distR="114300" simplePos="0" relativeHeight="2" behindDoc="0" locked="0" layoutInCell="0" allowOverlap="1" wp14:anchorId="0F920C9D" wp14:editId="70FAA7BE">
          <wp:simplePos x="0" y="0"/>
          <wp:positionH relativeFrom="margin">
            <wp:posOffset>1414145</wp:posOffset>
          </wp:positionH>
          <wp:positionV relativeFrom="paragraph">
            <wp:posOffset>-31750</wp:posOffset>
          </wp:positionV>
          <wp:extent cx="2562225" cy="508635"/>
          <wp:effectExtent l="0" t="0" r="0" b="0"/>
          <wp:wrapTight wrapText="bothSides">
            <wp:wrapPolygon edited="0">
              <wp:start x="-2" y="0"/>
              <wp:lineTo x="-2" y="21029"/>
              <wp:lineTo x="21520" y="21029"/>
              <wp:lineTo x="21520" y="0"/>
              <wp:lineTo x="-2" y="0"/>
            </wp:wrapPolygon>
          </wp:wrapTight>
          <wp:docPr id="2" name="Imagem 52" descr="Ver a imagem de orig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52" descr="Ver a imagem de origem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62225" cy="5086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63C51"/>
    <w:multiLevelType w:val="multilevel"/>
    <w:tmpl w:val="5A26B75E"/>
    <w:lvl w:ilvl="0">
      <w:start w:val="1"/>
      <w:numFmt w:val="decimal"/>
      <w:lvlText w:val="%1."/>
      <w:lvlJc w:val="left"/>
      <w:pPr>
        <w:tabs>
          <w:tab w:val="num" w:pos="0"/>
        </w:tabs>
        <w:ind w:left="756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76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96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16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36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56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76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96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16" w:hanging="180"/>
      </w:pPr>
    </w:lvl>
  </w:abstractNum>
  <w:abstractNum w:abstractNumId="1" w15:restartNumberingAfterBreak="0">
    <w:nsid w:val="41761CA5"/>
    <w:multiLevelType w:val="multilevel"/>
    <w:tmpl w:val="5030956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090885952">
    <w:abstractNumId w:val="0"/>
  </w:num>
  <w:num w:numId="2" w16cid:durableId="680862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01E"/>
    <w:rsid w:val="0010101E"/>
    <w:rsid w:val="001C4747"/>
    <w:rsid w:val="00287CA5"/>
    <w:rsid w:val="00541FCA"/>
    <w:rsid w:val="009E5E57"/>
    <w:rsid w:val="00C26E69"/>
    <w:rsid w:val="00D4105D"/>
    <w:rsid w:val="00EA7CD0"/>
    <w:rsid w:val="00F62D5E"/>
    <w:rsid w:val="00F84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B39394"/>
  <w15:docId w15:val="{A07F3209-E94A-42FB-A779-7E03E1A32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5779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07D15"/>
    <w:pPr>
      <w:keepNext/>
      <w:keepLines/>
      <w:spacing w:after="0" w:line="360" w:lineRule="auto"/>
      <w:jc w:val="center"/>
      <w:outlineLvl w:val="0"/>
    </w:pPr>
    <w:rPr>
      <w:rFonts w:asciiTheme="majorHAnsi" w:eastAsiaTheme="majorEastAsia" w:hAnsiTheme="majorHAnsi" w:cstheme="majorBidi"/>
      <w:b/>
      <w:color w:val="385623" w:themeColor="accent6" w:themeShade="80"/>
      <w:sz w:val="24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7B5283"/>
    <w:pPr>
      <w:snapToGrid w:val="0"/>
      <w:spacing w:after="360" w:line="240" w:lineRule="auto"/>
      <w:ind w:left="1139" w:hanging="431"/>
      <w:outlineLvl w:val="1"/>
    </w:pPr>
    <w:rPr>
      <w:sz w:val="28"/>
      <w:szCs w:val="26"/>
      <w:lang w:eastAsia="pt-PT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625232"/>
    <w:pPr>
      <w:spacing w:after="120"/>
      <w:ind w:left="360" w:hanging="360"/>
      <w:outlineLvl w:val="2"/>
    </w:pPr>
    <w:rPr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54FDE"/>
    <w:pPr>
      <w:keepNext/>
      <w:keepLines/>
      <w:spacing w:before="40" w:after="0"/>
      <w:ind w:left="708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05779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D07D15"/>
    <w:rPr>
      <w:rFonts w:asciiTheme="majorHAnsi" w:eastAsiaTheme="majorEastAsia" w:hAnsiTheme="majorHAnsi" w:cstheme="majorBidi"/>
      <w:b/>
      <w:color w:val="385623" w:themeColor="accent6" w:themeShade="8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7B5283"/>
    <w:rPr>
      <w:rFonts w:asciiTheme="majorHAnsi" w:eastAsiaTheme="majorEastAsia" w:hAnsiTheme="majorHAnsi" w:cstheme="majorBidi"/>
      <w:b/>
      <w:sz w:val="28"/>
      <w:szCs w:val="26"/>
      <w:lang w:eastAsia="pt-PT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625232"/>
    <w:rPr>
      <w:rFonts w:asciiTheme="majorHAnsi" w:eastAsiaTheme="majorEastAsia" w:hAnsiTheme="majorHAnsi" w:cstheme="majorBidi"/>
      <w:b/>
      <w:bCs/>
      <w:color w:val="2F5496" w:themeColor="accent5" w:themeShade="BF"/>
      <w:sz w:val="24"/>
      <w:szCs w:val="26"/>
      <w:lang w:eastAsia="pt-PT"/>
    </w:rPr>
  </w:style>
  <w:style w:type="character" w:styleId="Emphasis">
    <w:name w:val="Emphasis"/>
    <w:basedOn w:val="DefaultParagraphFont"/>
    <w:uiPriority w:val="20"/>
    <w:qFormat/>
    <w:rsid w:val="00E416B7"/>
    <w:rPr>
      <w:i/>
      <w:iCs/>
    </w:rPr>
  </w:style>
  <w:style w:type="character" w:customStyle="1" w:styleId="fontstyle01">
    <w:name w:val="fontstyle01"/>
    <w:basedOn w:val="DefaultParagraphFont"/>
    <w:qFormat/>
    <w:rsid w:val="00E45B29"/>
    <w:rPr>
      <w:rFonts w:ascii="TimesNewRomanPSMT" w:hAnsi="TimesNewRomanPSM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DefaultParagraphFont"/>
    <w:qFormat/>
    <w:rsid w:val="00363687"/>
    <w:rPr>
      <w:rFonts w:ascii="TimesNewRomanPS-BoldMT" w:hAnsi="TimesNewRomanPS-BoldMT"/>
      <w:b/>
      <w:bCs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DefaultParagraphFont"/>
    <w:qFormat/>
    <w:rsid w:val="00E53269"/>
    <w:rPr>
      <w:rFonts w:ascii="TimesNewRomanPS-BoldMT" w:hAnsi="TimesNewRomanPS-BoldMT"/>
      <w:b/>
      <w:bCs/>
      <w:i w:val="0"/>
      <w:iCs w:val="0"/>
      <w:color w:val="000000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454FD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955FBD"/>
  </w:style>
  <w:style w:type="character" w:customStyle="1" w:styleId="FooterChar">
    <w:name w:val="Footer Char"/>
    <w:basedOn w:val="DefaultParagraphFont"/>
    <w:link w:val="Footer"/>
    <w:uiPriority w:val="99"/>
    <w:qFormat/>
    <w:rsid w:val="00955FBD"/>
  </w:style>
  <w:style w:type="character" w:customStyle="1" w:styleId="CaptionChar">
    <w:name w:val="Caption Char"/>
    <w:basedOn w:val="DefaultParagraphFont"/>
    <w:link w:val="Caption"/>
    <w:uiPriority w:val="35"/>
    <w:qFormat/>
    <w:rsid w:val="00B9709F"/>
    <w:rPr>
      <w:iCs/>
      <w:color w:val="44546A" w:themeColor="text2"/>
      <w:sz w:val="18"/>
      <w:szCs w:val="18"/>
    </w:rPr>
  </w:style>
  <w:style w:type="character" w:customStyle="1" w:styleId="FiguraestiloCarter">
    <w:name w:val="Figura_estilo Caráter"/>
    <w:basedOn w:val="CaptionChar"/>
    <w:link w:val="Figuraestilo"/>
    <w:qFormat/>
    <w:rsid w:val="00B9709F"/>
    <w:rPr>
      <w:iCs/>
      <w:color w:val="44546A" w:themeColor="text2"/>
      <w:sz w:val="18"/>
      <w:szCs w:val="18"/>
    </w:rPr>
  </w:style>
  <w:style w:type="character" w:customStyle="1" w:styleId="Ligaodendiceuser">
    <w:name w:val="Ligação de índice (user)"/>
    <w:qFormat/>
  </w:style>
  <w:style w:type="character" w:customStyle="1" w:styleId="Ligaodendice">
    <w:name w:val="Ligação de índice"/>
    <w:qFormat/>
  </w:style>
  <w:style w:type="paragraph" w:customStyle="1" w:styleId="Ttulo">
    <w:name w:val="Título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B9709F"/>
    <w:pPr>
      <w:keepNext/>
      <w:spacing w:after="200" w:line="240" w:lineRule="auto"/>
    </w:pPr>
    <w:rPr>
      <w:iCs/>
      <w:color w:val="44546A" w:themeColor="text2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E05779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55FBD"/>
    <w:pPr>
      <w:tabs>
        <w:tab w:val="center" w:pos="4252"/>
        <w:tab w:val="right" w:pos="8504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955FBD"/>
    <w:pPr>
      <w:tabs>
        <w:tab w:val="center" w:pos="4252"/>
        <w:tab w:val="right" w:pos="8504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qFormat/>
    <w:rsid w:val="00BB0015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styleId="IndexHeading">
    <w:name w:val="index heading"/>
    <w:basedOn w:val="Ttulouser"/>
  </w:style>
  <w:style w:type="paragraph" w:styleId="TOCHeading">
    <w:name w:val="TOC Heading"/>
    <w:basedOn w:val="Heading1"/>
    <w:next w:val="Normal"/>
    <w:uiPriority w:val="39"/>
    <w:unhideWhenUsed/>
    <w:qFormat/>
    <w:rsid w:val="008C638C"/>
    <w:pPr>
      <w:spacing w:before="240"/>
      <w:outlineLvl w:val="9"/>
    </w:pPr>
    <w:rPr>
      <w:b w:val="0"/>
      <w:color w:val="2E74B5" w:themeColor="accent1" w:themeShade="BF"/>
      <w:sz w:val="32"/>
      <w:lang w:eastAsia="pt-PT"/>
    </w:rPr>
  </w:style>
  <w:style w:type="paragraph" w:styleId="TOC1">
    <w:name w:val="toc 1"/>
    <w:basedOn w:val="Normal"/>
    <w:next w:val="Normal"/>
    <w:autoRedefine/>
    <w:uiPriority w:val="39"/>
    <w:unhideWhenUsed/>
    <w:rsid w:val="00AA1899"/>
    <w:pPr>
      <w:tabs>
        <w:tab w:val="left" w:pos="851"/>
        <w:tab w:val="right" w:leader="dot" w:pos="8494"/>
      </w:tabs>
      <w:spacing w:after="100"/>
      <w:ind w:left="426"/>
    </w:pPr>
  </w:style>
  <w:style w:type="paragraph" w:styleId="TOC2">
    <w:name w:val="toc 2"/>
    <w:basedOn w:val="Normal"/>
    <w:next w:val="Normal"/>
    <w:autoRedefine/>
    <w:uiPriority w:val="39"/>
    <w:unhideWhenUsed/>
    <w:rsid w:val="008C638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C638C"/>
    <w:pPr>
      <w:spacing w:after="100"/>
      <w:ind w:left="440"/>
    </w:pPr>
  </w:style>
  <w:style w:type="paragraph" w:customStyle="1" w:styleId="Figuraestilo">
    <w:name w:val="Figura_estilo"/>
    <w:basedOn w:val="Caption"/>
    <w:link w:val="FiguraestiloCarter"/>
    <w:qFormat/>
    <w:rsid w:val="00B9709F"/>
    <w:pPr>
      <w:jc w:val="center"/>
    </w:pPr>
  </w:style>
  <w:style w:type="paragraph" w:customStyle="1" w:styleId="Contedodatabelauser">
    <w:name w:val="Conteúdo da tabela (user)"/>
    <w:basedOn w:val="Normal"/>
    <w:qFormat/>
    <w:pPr>
      <w:widowControl w:val="0"/>
      <w:suppressLineNumbers/>
    </w:pPr>
  </w:style>
  <w:style w:type="paragraph" w:customStyle="1" w:styleId="Ttulodatabelauser">
    <w:name w:val="Título da tabela (user)"/>
    <w:basedOn w:val="Contedodatabelauser"/>
    <w:qFormat/>
    <w:pPr>
      <w:jc w:val="center"/>
    </w:pPr>
    <w:rPr>
      <w:b/>
      <w:bCs/>
    </w:rPr>
  </w:style>
  <w:style w:type="numbering" w:customStyle="1" w:styleId="Semlistauser">
    <w:name w:val="Sem lista (user)"/>
    <w:uiPriority w:val="99"/>
    <w:semiHidden/>
    <w:unhideWhenUsed/>
    <w:qFormat/>
  </w:style>
  <w:style w:type="table" w:styleId="PlainTable3">
    <w:name w:val="Plain Table 3"/>
    <w:basedOn w:val="TableNormal"/>
    <w:uiPriority w:val="43"/>
    <w:rsid w:val="0020139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818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6326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22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0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754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53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44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1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7cd2919-dc0f-4128-8acc-c71048791a43">
      <Terms xmlns="http://schemas.microsoft.com/office/infopath/2007/PartnerControls"/>
    </lcf76f155ced4ddcb4097134ff3c332f>
    <TaxCatchAll xmlns="b6d4baf7-a353-4190-9256-a508af4fcbe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80103E4C05F24E9033AFC3EE1A5BEF" ma:contentTypeVersion="14" ma:contentTypeDescription="Criar um novo documento." ma:contentTypeScope="" ma:versionID="80d931d72dfebd5669a9601d5f826c43">
  <xsd:schema xmlns:xsd="http://www.w3.org/2001/XMLSchema" xmlns:xs="http://www.w3.org/2001/XMLSchema" xmlns:p="http://schemas.microsoft.com/office/2006/metadata/properties" xmlns:ns2="f7cd2919-dc0f-4128-8acc-c71048791a43" xmlns:ns3="b6d4baf7-a353-4190-9256-a508af4fcbee" targetNamespace="http://schemas.microsoft.com/office/2006/metadata/properties" ma:root="true" ma:fieldsID="49b329aa788934851795a4495018adce" ns2:_="" ns3:_="">
    <xsd:import namespace="f7cd2919-dc0f-4128-8acc-c71048791a43"/>
    <xsd:import namespace="b6d4baf7-a353-4190-9256-a508af4fcb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cd2919-dc0f-4128-8acc-c71048791a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d4baf7-a353-4190-9256-a508af4fcbee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838e693-053b-4d57-9f8a-606e70ed9ee3}" ma:internalName="TaxCatchAll" ma:showField="CatchAllData" ma:web="b6d4baf7-a353-4190-9256-a508af4fcb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C020853-B0BD-4610-8657-6842A987BBA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AF29AAA-DC3E-481F-9E27-B608EA6E1BA8}">
  <ds:schemaRefs>
    <ds:schemaRef ds:uri="http://schemas.microsoft.com/office/2006/metadata/properties"/>
    <ds:schemaRef ds:uri="http://schemas.microsoft.com/office/infopath/2007/PartnerControls"/>
    <ds:schemaRef ds:uri="f7cd2919-dc0f-4128-8acc-c71048791a43"/>
    <ds:schemaRef ds:uri="b6d4baf7-a353-4190-9256-a508af4fcbee"/>
  </ds:schemaRefs>
</ds:datastoreItem>
</file>

<file path=customXml/itemProps3.xml><?xml version="1.0" encoding="utf-8"?>
<ds:datastoreItem xmlns:ds="http://schemas.openxmlformats.org/officeDocument/2006/customXml" ds:itemID="{F52EEFEC-DA96-48A7-99EC-3C2BEA052F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3620F5E-E854-4C1F-A36D-5A9294BBF8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cd2919-dc0f-4128-8acc-c71048791a43"/>
    <ds:schemaRef ds:uri="b6d4baf7-a353-4190-9256-a508af4fc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2314</TotalTime>
  <Pages>1</Pages>
  <Words>1685</Words>
  <Characters>9101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Gabriel Asafe de Jesus Martins</cp:lastModifiedBy>
  <cp:revision>92</cp:revision>
  <cp:lastPrinted>2022-06-21T22:55:00Z</cp:lastPrinted>
  <dcterms:created xsi:type="dcterms:W3CDTF">2022-06-08T20:18:00Z</dcterms:created>
  <dcterms:modified xsi:type="dcterms:W3CDTF">2025-12-15T10:55:00Z</dcterms:modified>
  <dc:language>pt-PT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0x0101004980103E4C05F24E9033AFC3EE1A5BEF</vt:lpwstr>
  </property>
  <property fmtid="{D5CDD505-2E9C-101B-9397-08002B2CF9AE}" pid="3" name="MediaServiceImageTags">
    <vt:lpwstr/>
  </property>
</Properties>
</file>