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ATLAS JP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53.191.817/0001-50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Avenida Governador Argemiro de Figueiredo, 210, João Pessoa, PB, 58037-030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15/01/2024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123123131313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João Pessoa, 30 de setembro de 2025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123123131313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ATLAS JP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53.191.817/0001-50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RANGEL FEITOZA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