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5009" w:rsidRPr="00936480" w:rsidRDefault="00C25009" w:rsidP="00516C45">
      <w:pPr>
        <w:spacing w:before="2400"/>
        <w:jc w:val="both"/>
        <w:rPr>
          <w:rFonts w:ascii="Sans Serif Collection" w:hAnsi="Sans Serif Collection" w:cs="Sans Serif Collection"/>
        </w:rPr>
      </w:pPr>
    </w:p>
    <w:p w:rsidR="00C25009" w:rsidRPr="00936480" w:rsidRDefault="009044B3" w:rsidP="00516C45">
      <w:pPr>
        <w:pBdr>
          <w:bottom w:val="single" w:sz="12" w:space="8" w:color="1F3864"/>
        </w:pBdr>
        <w:spacing w:after="200"/>
        <w:jc w:val="both"/>
        <w:rPr>
          <w:rFonts w:ascii="Sans Serif Collection" w:hAnsi="Sans Serif Collection" w:cs="Sans Serif Collection"/>
        </w:rPr>
      </w:pPr>
      <w:r w:rsidRPr="00936480">
        <w:rPr>
          <w:rFonts w:ascii="Sans Serif Collection" w:eastAsia="Cambria" w:hAnsi="Sans Serif Collection" w:cs="Sans Serif Collection"/>
          <w:b/>
          <w:bCs/>
          <w:color w:val="1F3864"/>
          <w:sz w:val="64"/>
          <w:szCs w:val="64"/>
        </w:rPr>
        <w:t>Informe del Proyecto IREB</w:t>
      </w:r>
    </w:p>
    <w:p w:rsidR="00C25009" w:rsidRPr="00936480" w:rsidRDefault="009044B3" w:rsidP="00516C45">
      <w:pPr>
        <w:spacing w:before="300" w:after="200"/>
        <w:jc w:val="both"/>
        <w:rPr>
          <w:rFonts w:ascii="Sans Serif Collection" w:hAnsi="Sans Serif Collection" w:cs="Sans Serif Collection"/>
        </w:rPr>
      </w:pPr>
      <w:r w:rsidRPr="00936480">
        <w:rPr>
          <w:rFonts w:ascii="Sans Serif Collection" w:hAnsi="Sans Serif Collection" w:cs="Sans Serif Collection"/>
          <w:b/>
          <w:bCs/>
          <w:sz w:val="28"/>
          <w:szCs w:val="28"/>
        </w:rPr>
        <w:t xml:space="preserve">Revisión de la calidad de requerimientos en proyectos académicos: </w:t>
      </w:r>
      <w:r>
        <w:rPr>
          <w:rFonts w:ascii="Sans Serif Collection" w:hAnsi="Sans Serif Collection" w:cs="Sans Serif Collection"/>
        </w:rPr>
        <w:t xml:space="preserve">Sistema de Inventario de Materia Prima (SIMP)</w:t>
      </w:r>
    </w:p>
    <w:p w:rsidR="00C25009" w:rsidRPr="00936480" w:rsidRDefault="009044B3" w:rsidP="00516C45">
      <w:pPr>
        <w:spacing w:before="600" w:after="80"/>
        <w:jc w:val="both"/>
        <w:rPr>
          <w:rFonts w:ascii="Sans Serif Collection" w:hAnsi="Sans Serif Collection" w:cs="Sans Serif Collection"/>
        </w:rPr>
      </w:pPr>
      <w:r w:rsidRPr="00936480">
        <w:rPr>
          <w:rFonts w:ascii="Sans Serif Collection" w:hAnsi="Sans Serif Collection" w:cs="Sans Serif Collection"/>
          <w:b/>
          <w:bCs/>
        </w:rPr>
        <w:t>Elaborado por:</w:t>
      </w:r>
    </w:p>
    <w:p w:rsidR="00C25009" w:rsidRPr="00936480" w:rsidRDefault="009044B3" w:rsidP="00516C45">
      <w:pPr>
        <w:spacing w:after="40"/>
        <w:jc w:val="both"/>
        <w:rPr>
          <w:rFonts w:ascii="Sans Serif Collection" w:hAnsi="Sans Serif Collection" w:cs="Sans Serif Collection"/>
        </w:rPr>
      </w:pPr>
      <w:r>
        <w:rPr>
          <w:rFonts w:ascii="Sans Serif Collection" w:hAnsi="Sans Serif Collection" w:cs="Sans Serif Collection"/>
        </w:rPr>
        <w:t xml:space="preserve">Báez Jaramillo Gabriel Alejandro / Líder de equipo</w:t>
      </w:r>
    </w:p>
    <w:p w:rsidR="009C260F" w:rsidRPr="00936480" w:rsidRDefault="009044B3" w:rsidP="00516C45">
      <w:pPr>
        <w:spacing w:after="300"/>
        <w:jc w:val="both"/>
        <w:rPr>
          <w:rFonts w:ascii="Sans Serif Collection" w:hAnsi="Sans Serif Collection" w:cs="Sans Serif Collection"/>
          <w:color w:val="595959"/>
        </w:rPr>
      </w:pPr>
      <w:r>
        <w:rPr>
          <w:rFonts w:ascii="Sans Serif Collection" w:hAnsi="Sans Serif Collection" w:cs="Sans Serif Collection"/>
        </w:rPr>
        <w:t xml:space="preserve">Guayanay Lema Erika Vannesa / Estudiante</w:t>
      </w:r>
    </w:p>
    <w:p w:rsidR="009C260F" w:rsidRPr="00936480" w:rsidRDefault="009044B3" w:rsidP="00516C45">
      <w:pPr>
        <w:spacing w:after="300"/>
        <w:jc w:val="both"/>
        <w:rPr>
          <w:rFonts w:ascii="Sans Serif Collection" w:hAnsi="Sans Serif Collection" w:cs="Sans Serif Collection"/>
          <w:color w:val="595959"/>
        </w:rPr>
      </w:pPr>
      <w:r>
        <w:rPr>
          <w:rFonts w:ascii="Sans Serif Collection" w:hAnsi="Sans Serif Collection" w:cs="Sans Serif Collection"/>
          <w:highlight w:val="yellow"/>
        </w:rPr>
        <w:t xml:space="preserve">Isaac [apellidos] / Estudiante</w:t>
      </w:r>
    </w:p>
    <w:p w:rsidR="00C25009" w:rsidRPr="00936480" w:rsidRDefault="009044B3" w:rsidP="00516C45">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Instructor/a del curso: </w:t>
      </w:r>
      <w:r w:rsidR="00F3082C">
        <w:rPr>
          <w:rFonts w:ascii="Sans Serif Collection" w:hAnsi="Sans Serif Collection" w:cs="Sans Serif Collection"/>
          <w:b/>
          <w:bCs/>
        </w:rPr>
        <w:t xml:space="preserve"> </w:t>
      </w:r>
      <w:r w:rsidR="00F3082C">
        <w:rPr>
          <w:rFonts w:ascii="Sans Serif Collection" w:hAnsi="Sans Serif Collection" w:cs="Sans Serif Collection"/>
          <w:color w:val="595959"/>
        </w:rPr>
        <w:t>Ing. Jenny A Ruiz R MIS</w:t>
      </w:r>
    </w:p>
    <w:p w:rsidR="00C25009" w:rsidRPr="00936480" w:rsidRDefault="009044B3" w:rsidP="00516C45">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Fecha: </w:t>
      </w:r>
      <w:proofErr w:type="spellStart"/>
      <w:proofErr w:type="spellEnd"/>
      <w:proofErr w:type="spellStart"/>
      <w:proofErr w:type="spellEnd"/>
      <w:r>
        <w:rPr>
          <w:rFonts w:ascii="Sans Serif Collection" w:hAnsi="Sans Serif Collection" w:cs="Sans Serif Collection"/>
        </w:rPr>
        <w:t xml:space="preserve">07-10-2026</w:t>
      </w:r>
    </w:p>
    <w:p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Lugar: </w:t>
      </w:r>
      <w:r>
        <w:rPr>
          <w:rFonts w:ascii="Sans Serif Collection" w:hAnsi="Sans Serif Collection" w:cs="Sans Serif Collection"/>
        </w:rPr>
        <w:t xml:space="preserve">Quito, Ecuador</w:t>
      </w:r>
    </w:p>
    <w:p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lastRenderedPageBreak/>
        <w:t>1. ANTECEDENTES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presente informe fue solicitado por la Ing. Jenny A. Ruiz R., MIS, docente de la asignatura Análisis y Diseño de Software. Consiste en revisar la calidad de los requerimientos del SRS del Sistema de Inventario de Materia Prima (SIMP, Bacam Urban Food) del grupo G3, aplicando la matriz de comprobación IREB sobre una muestra de casos de uso de nivel 0, y en proponer acciones de mejora. Los resultados se respaldan en el archivo G3_Matriz_IREB1.xlsx.</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Instrucciones recibidas</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Tema y duración del proyecto (horas): revisión de la calidad de los requerimientos del SIMP con la matriz IREB; duración </w:t>
      </w:r>
      <w:r>
        <w:rPr>
          <w:rFonts w:ascii="Sans Serif Collection" w:hAnsi="Sans Serif Collection" w:cs="Sans Serif Collection"/>
          <w:highlight w:val="yellow"/>
        </w:rPr>
        <w:t xml:space="preserve">[completar]</w:t>
      </w:r>
      <w:r>
        <w:rPr>
          <w:rFonts w:ascii="Sans Serif Collection" w:hAnsi="Sans Serif Collection" w:cs="Sans Serif Collection"/>
        </w:rPr>
        <w:t xml:space="preserve"> horas.</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Alcance: levantamiento de información sobre cómo se gestionan actualmente los requerimientos, incluida la revisión del documento vigente de requerimientos (SRS) del SIMP.</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Criterios de revisión: calidad de la documentación, contenido y nivel de acu</w:t>
      </w:r>
      <w:r w:rsidRPr="00936480">
        <w:rPr>
          <w:rFonts w:ascii="Sans Serif Collection" w:hAnsi="Sans Serif Collection" w:cs="Sans Serif Collection"/>
        </w:rPr>
        <w:t>erdo.</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Muestra: 3 RF/CU de nivel 0 del SRS del proyecto de IREB: CU001.1 Gestionar productos, CU001.2 Gestionar unidades de medida y CU001.4 Consolidar inventario del sistema.</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Producto esperado: lista de comprobación que estandarice el uso de la plantilla de requerimientos, verifique el contenido y registre el nivel de acuerdo entre las partes.</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Solicitud adicional: recomendaciones como acciones de mejora del proceso, pedidas por </w:t>
      </w:r>
      <w:r>
        <w:rPr>
          <w:rFonts w:ascii="Sans Serif Collection" w:hAnsi="Sans Serif Collection" w:cs="Sans Serif Collection"/>
          <w:highlight w:val="yellow"/>
        </w:rPr>
        <w:t xml:space="preserve">[nombre del instructor/a que impartió IR]</w:t>
      </w:r>
      <w:r>
        <w:rPr>
          <w:rFonts w:ascii="Sans Serif Collection" w:hAnsi="Sans Serif Collection" w:cs="Sans Serif Collection"/>
        </w:rPr>
        <w:t xml:space="preserve">.</w:t>
      </w:r>
    </w:p>
    <w:p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2. ANÁLISIS</w:t>
      </w:r>
    </w:p>
    <w:p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2.1 Proyectos analizados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Criterio de selección: se analizó el SRS elaborado por el propio equipo (grupo G3) y, de él, tres casos de uso de nivel 0. Período: análisis realizado el 02-10-2026. Asignatura de origen del proyecto: Ingeniería de Requisitos.</w:t>
      </w:r>
    </w:p>
    <w:p w:rsidR="00C25009" w:rsidRPr="00936480" w:rsidRDefault="009044B3" w:rsidP="00516C45">
      <w:pPr>
        <w:pStyle w:val="Prrafodelista"/>
        <w:numPr>
          <w:ilvl w:val="0"/>
          <w:numId w:val="3"/>
        </w:numPr>
        <w:spacing w:after="80"/>
        <w:jc w:val="both"/>
        <w:rPr>
          <w:rFonts w:ascii="Sans Serif Collection" w:hAnsi="Sans Serif Collection" w:cs="Sans Serif Collection"/>
        </w:rPr>
      </w:pPr>
      <w:r>
        <w:rPr>
          <w:rFonts w:ascii="Sans Serif Collection" w:hAnsi="Sans Serif Collection" w:cs="Sans Serif Collection"/>
        </w:rPr>
        <w:t xml:space="preserve">Sistema de Inventario de Materia Prima (SIMP) – Bacam Urban Food</w:t>
      </w:r>
    </w:p>
    <w:p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2.2 Metodología</w:t>
      </w:r>
    </w:p>
    <w:p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lastRenderedPageBreak/>
        <w:t>Para cada proyecto se realizó el análisis con los siguientes pasos:</w:t>
      </w:r>
    </w:p>
    <w:p w:rsidR="00C25009" w:rsidRPr="00936480" w:rsidRDefault="009044B3" w:rsidP="00516C45">
      <w:pPr>
        <w:pStyle w:val="Prrafodelista"/>
        <w:numPr>
          <w:ilvl w:val="0"/>
          <w:numId w:val="4"/>
        </w:numPr>
        <w:spacing w:after="80"/>
        <w:jc w:val="both"/>
        <w:rPr>
          <w:rFonts w:ascii="Sans Serif Collection" w:hAnsi="Sans Serif Collection" w:cs="Sans Serif Collection"/>
        </w:rPr>
      </w:pPr>
      <w:proofErr w:type="spellStart"/>
      <w:proofErr w:type="spellEnd"/>
      <w:r>
        <w:rPr>
          <w:rFonts w:ascii="Sans Serif Collection" w:hAnsi="Sans Serif Collection" w:cs="Sans Serif Collection"/>
        </w:rPr>
        <w:t xml:space="preserve">Verificación mediante el checklist, que evalúa los 11 criterios de calidad sobre 3 requerimientos (casos de uso de nivel 0) del proyecto.</w:t>
      </w:r>
    </w:p>
    <w:p w:rsidR="00C25009" w:rsidRPr="00936480" w:rsidRDefault="009044B3" w:rsidP="00516C45">
      <w:pPr>
        <w:pStyle w:val="Prrafodelista"/>
        <w:numPr>
          <w:ilvl w:val="0"/>
          <w:numId w:val="4"/>
        </w:numPr>
        <w:spacing w:after="80"/>
        <w:jc w:val="both"/>
        <w:rPr>
          <w:rFonts w:ascii="Sans Serif Collection" w:hAnsi="Sans Serif Collection" w:cs="Sans Serif Collection"/>
        </w:rPr>
      </w:pPr>
      <w:proofErr w:type="spellStart"/>
      <w:proofErr w:type="spellEnd"/>
      <w:r>
        <w:rPr>
          <w:rFonts w:ascii="Sans Serif Collection" w:hAnsi="Sans Serif Collection" w:cs="Sans Serif Collection"/>
        </w:rPr>
        <w:t xml:space="preserve">Análisis de cada requerimiento del checklist con el Modelo de Lista de Comprobación (17 preguntas en tres criterios: Contenido, 9; Documentación, 5; Nivel de acuerdo, 3), un caso de uso por integrante del equipo.</w:t>
      </w:r>
    </w:p>
    <w:p w:rsidR="00C25009" w:rsidRPr="00936480" w:rsidRDefault="009044B3" w:rsidP="00516C45">
      <w:pPr>
        <w:pStyle w:val="Prrafodelista"/>
        <w:numPr>
          <w:ilvl w:val="0"/>
          <w:numId w:val="4"/>
        </w:numPr>
        <w:spacing w:after="80"/>
        <w:jc w:val="both"/>
        <w:rPr>
          <w:rFonts w:ascii="Sans Serif Collection" w:hAnsi="Sans Serif Collection" w:cs="Sans Serif Collection"/>
        </w:rPr>
      </w:pPr>
      <w:r w:rsidRPr="00936480">
        <w:rPr>
          <w:rFonts w:ascii="Sans Serif Collection" w:hAnsi="Sans Serif Collection" w:cs="Sans Serif Collection"/>
        </w:rPr>
        <w:t>Formulación de recomendaciones a partir de las preguntas con respuesta NO.</w:t>
      </w:r>
    </w:p>
    <w:p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t>Los resultados completos están en los archivos de Excel anexos:</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Proyecto 1 (SIMP): G3_Matriz_IREB1.xlsx</w:t>
      </w:r>
    </w:p>
    <w:p w:rsidR="00C25009" w:rsidRPr="00936480" w:rsidRDefault="009044B3" w:rsidP="00516C45">
      <w:pPr>
        <w:pStyle w:val="Ttulo2"/>
        <w:keepNext/>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2.3 Resultados</w:t>
      </w:r>
    </w:p>
    <w:p w:rsidR="00C25009" w:rsidRPr="00936480" w:rsidRDefault="009044B3" w:rsidP="00516C45">
      <w:pPr>
        <w:pStyle w:val="Ttulo2"/>
        <w:keepNext/>
        <w:spacing w:before="260" w:after="120"/>
        <w:jc w:val="both"/>
        <w:rPr>
          <w:rFonts w:ascii="Sans Serif Collection" w:hAnsi="Sans Serif Collection" w:cs="Sans Serif Collection"/>
        </w:rPr>
      </w:pPr>
      <w:r>
        <w:rPr>
          <w:rFonts w:ascii="Sans Serif Collection" w:hAnsi="Sans Serif Collection" w:cs="Sans Serif Collection"/>
          <w:b/>
          <w:bCs/>
          <w:color w:val="2F5597"/>
          <w:sz w:val="24"/>
          <w:szCs w:val="24"/>
        </w:rPr>
        <w:t xml:space="preserve">Proyecto 1: Sistema de Inventario de Materia Prima (SIMP)</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i/>
          <w:iCs/>
          <w:sz w:val="20"/>
          <w:szCs w:val="20"/>
        </w:rPr>
        <w:t xml:space="preserve">Archivo de respaldo: G3_Matriz_IREB1.xlsx</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La Tabla 1 resume el resultado de la matriz de 11 criterios de calidad aplicada a los tres casos de uso (OK = cumple; NOK = no cumple; N/R = sin estado registrado en la matriz).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Criterio de calidad</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proofErr w:type="gramStart"/>
            <w:proofErr w:type="gramEnd"/>
            <w:r>
              <w:rPr>
                <w:rFonts w:ascii="Sans Serif Collection" w:hAnsi="Sans Serif Collection" w:cs="Sans Serif Collection"/>
                <w:b/>
                <w:bCs/>
                <w:sz w:val="20"/>
                <w:szCs w:val="20"/>
              </w:rPr>
              <w:t xml:space="preserve">CU001.1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proofErr w:type="gramStart"/>
            <w:proofErr w:type="gramEnd"/>
            <w:r>
              <w:rPr>
                <w:rFonts w:ascii="Sans Serif Collection" w:hAnsi="Sans Serif Collection" w:cs="Sans Serif Collection"/>
                <w:b/>
                <w:bCs/>
                <w:sz w:val="20"/>
                <w:szCs w:val="20"/>
              </w:rPr>
              <w:t xml:space="preserve">CU001.2</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CU001.4</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 Agreed</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N/R</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2. Ranked</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3. Unambiguous</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4. Valid and up-to-date</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5. Correct</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6. Consistent</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7. Verifiable</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8. Realizable</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9. Traceable</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c>
          <w:tcPr>
            <w:tcW w:w="2000" w:type="dxa"/>
            <w:tcBorders>
              <w:top w:val="single" w:sz="4" w:space="0" w:color="BFBFBF"/>
              <w:left w:val="single" w:sz="4" w:space="0" w:color="BFBFBF"/>
              <w:bottom w:val="single" w:sz="4" w:space="0" w:color="BFBFBF"/>
              <w:right w:val="single" w:sz="4" w:space="0" w:color="BFBFBF"/>
            </w:tcBorders>
            <w:shd w:val="clear" w:color="auto" w:fill="F8CBAD"/>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NOK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10. Complete</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11. Understandability</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c>
          <w:tcPr>
            <w:tcW w:w="2000" w:type="dxa"/>
            <w:tcBorders>
              <w:top w:val="single" w:sz="4" w:space="0" w:color="BFBFBF"/>
              <w:left w:val="single" w:sz="4" w:space="0" w:color="BFBFBF"/>
              <w:bottom w:val="single" w:sz="4" w:space="0" w:color="BFBFBF"/>
              <w:right w:val="single" w:sz="4" w:space="0" w:color="BFBFBF"/>
            </w:tcBorders>
            <w:shd w:val="clear" w:color="auto" w:fill="C6E0B4"/>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OK</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Criterios cumplidos (OK)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9 de 11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6 de 11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6 de 11</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b/>
                <w:bCs/>
                <w:sz w:val="20"/>
                <w:szCs w:val="20"/>
              </w:rPr>
              <w:t xml:space="preserve">% de cumplimiento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82%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55%</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 Resultado de la matriz de 11 criterios de calidad – Proyecto 1 (SIMP)</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1 analizado con el Modelo de Lista de Comprobación: </w:t>
      </w:r>
      <w:r>
        <w:rPr>
          <w:rFonts w:ascii="Sans Serif Collection" w:hAnsi="Sans Serif Collection" w:cs="Sans Serif Collection"/>
        </w:rPr>
        <w:t xml:space="preserve">CU001.1 Gestionar productos</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Guayanay Lema Erika Vannesa. Fecha: 02-10-2026.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2. Modelo de Lista de Comprobación 1 de 3 – CU001.1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3. Modelo de Lista de Comprobación 2 de 3 – CU001.1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4. Modelo de Lista de Comprobación 3 de 3 – CU001.1</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76%</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5. Resumen de cumplimiento por criterio – CU001.1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tblPrEx>
          <w:tblCellMar>
            <w:top w:w="0" w:type="dxa"/>
            <w:bottom w:w="0" w:type="dxa"/>
          </w:tblCellMar>
        </w:tblPrEx>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xmlns:a="http://schemas.openxmlformats.org/drawingml/2006/main" xmlns:pic="http://schemas.openxmlformats.org/drawingml/2006/picture">
            <w:pPr>
              <w:keepNext/>
              <w:jc w:val="center"/>
            </w:pPr>
            <w:r>
              <w:drawing>
                <wp:inline distT="0" distB="0" distL="0" distR="0">
                  <wp:extent cx="4480560" cy="2534739"/>
                  <wp:docPr id="201" name="Grafico 1" descr="Gráfico circular de cumplimiento"/>
                  <wp:cNvGraphicFramePr>
                    <a:graphicFrameLocks noChangeAspect="1"/>
                  </wp:cNvGraphicFramePr>
                  <a:graphic>
                    <a:graphicData uri="http://schemas.openxmlformats.org/drawingml/2006/picture">
                      <pic:pic>
                        <pic:nvPicPr>
                          <pic:cNvPr id="301" name="chart1.png"/>
                          <pic:cNvPicPr/>
                        </pic:nvPicPr>
                        <pic:blipFill>
                          <a:blip r:embed="rIdChart1"/>
                          <a:stretch>
                            <a:fillRect/>
                          </a:stretch>
                        </pic:blipFill>
                        <pic:spPr>
                          <a:xfrm>
                            <a:off x="0" y="0"/>
                            <a:ext cx="4480560" cy="2534739"/>
                          </a:xfrm>
                          <a:prstGeom prst="rect">
                            <a:avLst/>
                          </a:prstGeom>
                        </pic:spPr>
                      </pic:pic>
                    </a:graphicData>
                  </a:graphic>
                </wp:inline>
              </w:drawing>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1. Cumplimiento de los criterios de calidad – CU001.1</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En la matriz de 11 criterios el CU001.1 es el requerimiento mejor evaluado: cumple 9 criterios y no cumple Verifiable (el requisito es medible, pero faltan casos de prueba) ni Realizable (la funcionalidad está considerada en la estimación de costo del proyecto, pero aún no se ha desarrollado). Su trazabilidad está respaldada por la matriz cliente/casos de uso y casos de uso/casos de uso.</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2 analizado con el Modelo de Lista de Comprobación: </w:t>
      </w:r>
      <w:r>
        <w:rPr>
          <w:rFonts w:ascii="Sans Serif Collection" w:hAnsi="Sans Serif Collection" w:cs="Sans Serif Collection"/>
        </w:rPr>
        <w:t xml:space="preserve">CU001.2 Gestionar unidades de medida</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Isaac. Fecha: 02-10-2026.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6. Modelo de Lista de Comprobación 1 de 3 – CU001.2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80%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20%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7. Modelo de Lista de Comprobación 2 de 3 – CU001.2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8. Modelo de Lista de Comprobación 3 de 3 – CU001.2</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71%</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9. Resumen de cumplimiento por criterio – CU001.2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tblPrEx>
          <w:tblCellMar>
            <w:top w:w="0" w:type="dxa"/>
            <w:bottom w:w="0" w:type="dxa"/>
          </w:tblCellMar>
        </w:tblPrEx>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xmlns:a="http://schemas.openxmlformats.org/drawingml/2006/main" xmlns:pic="http://schemas.openxmlformats.org/drawingml/2006/picture">
            <w:pPr>
              <w:keepNext/>
              <w:jc w:val="center"/>
            </w:pPr>
            <w:r>
              <w:drawing>
                <wp:inline distT="0" distB="0" distL="0" distR="0">
                  <wp:extent cx="4480560" cy="2534739"/>
                  <wp:docPr id="202" name="Grafico 2" descr="Gráfico circular de cumplimiento"/>
                  <wp:cNvGraphicFramePr>
                    <a:graphicFrameLocks noChangeAspect="1"/>
                  </wp:cNvGraphicFramePr>
                  <a:graphic>
                    <a:graphicData uri="http://schemas.openxmlformats.org/drawingml/2006/picture">
                      <pic:pic>
                        <pic:nvPicPr>
                          <pic:cNvPr id="302" name="chart2.png"/>
                          <pic:cNvPicPr/>
                        </pic:nvPicPr>
                        <pic:blipFill>
                          <a:blip r:embed="rIdChart2"/>
                          <a:stretch>
                            <a:fillRect/>
                          </a:stretch>
                        </pic:blipFill>
                        <pic:spPr>
                          <a:xfrm>
                            <a:off x="0" y="0"/>
                            <a:ext cx="4480560" cy="2534739"/>
                          </a:xfrm>
                          <a:prstGeom prst="rect">
                            <a:avLst/>
                          </a:prstGeom>
                        </pic:spPr>
                      </pic:pic>
                    </a:graphicData>
                  </a:graphic>
                </wp:inline>
              </w:drawing>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2. Cumplimiento de los criterios de calidad – CU001.2</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CU001.2 cumple 6 criterios. No cumple Unambiguous (la redacción puede ser más específica y clara), Verifiable y Realizable (aún no se ha desarrollado) ni Traceable (no existe matriz de trazabilidad). El criterio Agreed no tiene estado registrado en la matriz (N/R), aunque la evidencia citada incluye videoconferencia, minuta y aceptación del prototipo no funcional.</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Requerimiento 3 analizado con el Modelo de Lista de Comprobación: </w:t>
      </w:r>
      <w:r>
        <w:rPr>
          <w:rFonts w:ascii="Sans Serif Collection" w:hAnsi="Sans Serif Collection" w:cs="Sans Serif Collection"/>
        </w:rPr>
        <w:t xml:space="preserve">CU001.4 Consolidar inventario del sistema</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Responsable del análisis: Báez Jaramillo Gabriel Alejandro. Fecha: 02-10-2026.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r w:rsidRPr="00936480">
              <w:rPr>
                <w:rFonts w:ascii="Sans Serif Collection" w:hAnsi="Sans Serif Collection" w:cs="Sans Serif Collection"/>
                <w:b/>
                <w:bCs/>
                <w:sz w:val="20"/>
                <w:szCs w:val="20"/>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44%</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10. Modelo de Lista de Comprobación 1 de 3 – CU001.4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80%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20%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11. Modelo de Lista de Comprobación 2 de 3 – CU001.4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tblPrEx>
          <w:tblCellMar>
            <w:top w:w="0" w:type="dxa"/>
            <w:bottom w:w="0" w:type="dxa"/>
          </w:tblCellMar>
        </w:tblPrEx>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r w:rsidR="00C25009" w:rsidRPr="00936480">
        <w:tblPrEx>
          <w:tblCellMar>
            <w:top w:w="0" w:type="dxa"/>
            <w:bottom w:w="0" w:type="dxa"/>
          </w:tblCellMar>
        </w:tblPrEx>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0%</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12. Modelo de Lista de Comprobación 3 de 3 – CU001.4</w:t>
      </w:r>
    </w:p>
    <w:p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tblPrEx>
          <w:tblCellMar>
            <w:top w:w="0" w:type="dxa"/>
            <w:bottom w:w="0" w:type="dxa"/>
          </w:tblCellMar>
        </w:tblPrEx>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56%</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80%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sz w:val="20"/>
                <w:szCs w:val="20"/>
              </w:rPr>
              <w:t xml:space="preserve">100%</w:t>
            </w:r>
          </w:p>
        </w:tc>
      </w:tr>
      <w:tr w:rsidR="00C25009" w:rsidRPr="00936480">
        <w:tblPrEx>
          <w:tblCellMar>
            <w:top w:w="0" w:type="dxa"/>
            <w:bottom w:w="0" w:type="dxa"/>
          </w:tblCellMar>
        </w:tblPrEx>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C25009" w:rsidP="00516C45">
            <w:pPr>
              <w:keepNext/>
              <w:jc w:val="center"/>
              <w:rPr>
                <w:rFonts w:ascii="Sans Serif Collection" w:hAnsi="Sans Serif Collection" w:cs="Sans Serif Collection"/>
              </w:rPr>
            </w:pPr>
            <w:r>
              <w:rPr>
                <w:rFonts w:ascii="Sans Serif Collection" w:hAnsi="Sans Serif Collection" w:cs="Sans Serif Collection"/>
                <w:b/>
                <w:sz w:val="20"/>
                <w:szCs w:val="20"/>
              </w:rPr>
              <w:t xml:space="preserve">5</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rsidR="00C25009" w:rsidRPr="00936480" w:rsidRDefault="009044B3" w:rsidP="00516C45">
            <w:pPr>
              <w:keepNext/>
              <w:jc w:val="center"/>
              <w:rPr>
                <w:rFonts w:ascii="Sans Serif Collection" w:hAnsi="Sans Serif Collection" w:cs="Sans Serif Collection"/>
              </w:rPr>
            </w:pPr>
            <w:r>
              <w:rPr>
                <w:rFonts w:ascii="Sans Serif Collection" w:hAnsi="Sans Serif Collection" w:cs="Sans Serif Collection"/>
                <w:b/>
                <w:bCs/>
                <w:sz w:val="20"/>
                <w:szCs w:val="20"/>
              </w:rPr>
              <w:t xml:space="preserve">71%</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13. Resumen de cumplimiento por criterio – CU001.4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25009" w:rsidRPr="00936480">
        <w:tblPrEx>
          <w:tblCellMar>
            <w:top w:w="0" w:type="dxa"/>
            <w:bottom w:w="0" w:type="dxa"/>
          </w:tblCellMar>
        </w:tblPrEx>
        <w:trPr>
          <w:trHeight w:val="3000"/>
        </w:trPr>
        <w:tc>
          <w:tcPr>
            <w:tcW w:w="9638" w:type="dxa"/>
            <w:tcBorders>
              <w:top w:val="dashed" w:sz="6" w:space="0" w:color="7F7F7F"/>
              <w:left w:val="dashed" w:sz="6" w:space="0" w:color="7F7F7F"/>
              <w:bottom w:val="dashed" w:sz="6" w:space="0" w:color="7F7F7F"/>
              <w:right w:val="dashed" w:sz="6" w:space="0" w:color="7F7F7F"/>
            </w:tcBorders>
            <w:vAlign w:val="center"/>
          </w:tcPr>
          <w:p xmlns:a="http://schemas.openxmlformats.org/drawingml/2006/main" xmlns:pic="http://schemas.openxmlformats.org/drawingml/2006/picture">
            <w:pPr>
              <w:keepNext/>
              <w:jc w:val="center"/>
            </w:pPr>
            <w:r>
              <w:drawing>
                <wp:inline distT="0" distB="0" distL="0" distR="0">
                  <wp:extent cx="4480560" cy="2534739"/>
                  <wp:docPr id="203" name="Grafico 3" descr="Gráfico circular de cumplimiento"/>
                  <wp:cNvGraphicFramePr>
                    <a:graphicFrameLocks noChangeAspect="1"/>
                  </wp:cNvGraphicFramePr>
                  <a:graphic>
                    <a:graphicData uri="http://schemas.openxmlformats.org/drawingml/2006/picture">
                      <pic:pic>
                        <pic:nvPicPr>
                          <pic:cNvPr id="303" name="chart3.png"/>
                          <pic:cNvPicPr/>
                        </pic:nvPicPr>
                        <pic:blipFill>
                          <a:blip r:embed="rIdChart3"/>
                          <a:stretch>
                            <a:fillRect/>
                          </a:stretch>
                        </pic:blipFill>
                        <pic:spPr>
                          <a:xfrm>
                            <a:off x="0" y="0"/>
                            <a:ext cx="4480560" cy="2534739"/>
                          </a:xfrm>
                          <a:prstGeom prst="rect">
                            <a:avLst/>
                          </a:prstGeom>
                        </pic:spPr>
                      </pic:pic>
                    </a:graphicData>
                  </a:graphic>
                </wp:inline>
              </w:drawing>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Gráfico 3. Cumplimiento de los criterios de calidad – CU001.4</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El CU001.4 cumple 6 criterios. No cumple Unambiguous (no se define cómo se combinan los conteos físicos y las compras, de dónde se derivan las salidas por producto ni si la consolidación es automática o la ejecuta el Administrador), Consistent (en el diagrama el &lt;&lt;include&gt;&gt; entre «Gestionar compras» y «Actualizar existencias» tiene el sentido invertido y los conteos físicos no se relacionan con la consolidación), Verifiable (salidas cualitativas, sin criterios de aceptación ni casos de prueba), Realizable (no desarrollado) y Traceable (no hay matriz de trazabilidad).</w:t>
      </w:r>
    </w:p>
    <w:p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lastRenderedPageBreak/>
        <w:t>3. CONCLUSIONES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Los resultados de las tres evaluaciones se resumen a continuación.</w:t>
      </w:r>
    </w:p>
    <w:p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Aplicar la matriz de 11 criterios y la lista de comprobación de 17 preguntas permite pasar de una impresión general del SRS a hallazgos concretos: los casos de uso del SIMP cumplen 82% (CU001.1), 55% (CU001.2) y 55% (CU001.4) de los criterios de la matriz. Verifiable y Realizable fallan en los tres, por falta de casos de prueba y porque las funcionalidades aún no están desarrolladas, y Traceable falla en CU001.2 y CU001.4 por no existir matriz de trazabilidad.</w:t>
      </w:r>
    </w:p>
    <w:p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En la lista de comprobación, Contenido es el criterio con menor cumplimiento en los tres casos de uso (56%), con las mismas cuatro preguntas en NO: documentación completa de requerimientos relevantes, implementación de las funciones, ausencia de contradicciones y proceso acotado de verificación. Nivel de acuerdo alcanza 100% en los tres, y Documentación llega a 100% en CU001.1 y a 80% en CU001.2 (glosario no normalizado) y CU001.4 (interpretación única). El cumplimiento global es 76%, 71% y 71%, respectivamente.</w:t>
      </w:r>
    </w:p>
    <w:p w:rsidR="00C25009" w:rsidRPr="00936480" w:rsidRDefault="009044B3" w:rsidP="00516C45">
      <w:pPr>
        <w:pStyle w:val="Prrafodelista"/>
        <w:numPr>
          <w:ilvl w:val="0"/>
          <w:numId w:val="5"/>
        </w:numPr>
        <w:spacing w:after="80"/>
        <w:jc w:val="both"/>
        <w:rPr>
          <w:rFonts w:ascii="Sans Serif Collection" w:hAnsi="Sans Serif Collection" w:cs="Sans Serif Collection"/>
        </w:rPr>
      </w:pPr>
      <w:r>
        <w:rPr>
          <w:rFonts w:ascii="Sans Serif Collection" w:hAnsi="Sans Serif Collection" w:cs="Sans Serif Collection"/>
        </w:rPr>
        <w:t xml:space="preserve">Estos hallazgos se relacionan con el trabajo de Análisis y Diseño de Software: la falta de criterios de aceptación, de trazabilidad y de coherencia entre el diagrama y la descripción de los casos de uso afecta directamente al diseño y a las pruebas posteriores, por lo que conviene corregirlos antes de avanzar con el diseño del sistema.</w:t>
      </w:r>
    </w:p>
    <w:p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4. RECOMENDACIONES</w:t>
      </w:r>
    </w:p>
    <w:p w:rsidR="00C25009" w:rsidRPr="00936480" w:rsidRDefault="009044B3" w:rsidP="00516C45">
      <w:pPr>
        <w:spacing w:after="120" w:line="276" w:lineRule="auto"/>
        <w:jc w:val="both"/>
        <w:rPr>
          <w:rFonts w:ascii="Sans Serif Collection" w:hAnsi="Sans Serif Collection" w:cs="Sans Serif Collection"/>
        </w:rPr>
      </w:pPr>
      <w:r>
        <w:rPr>
          <w:rFonts w:ascii="Sans Serif Collection" w:hAnsi="Sans Serif Collection" w:cs="Sans Serif Collection"/>
        </w:rPr>
        <w:t xml:space="preserve">Las recomendaciones se formularon a partir de las preguntas con respuesta NO y de los criterios NOK de la matriz, para cada caso de uso analizado.</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CU001.1 Gestionar productos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lastRenderedPageBreak/>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todos los entregables de la entrevista (videoconferencia, minuta, acta de aceptación)?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Firmar un acta de aceptación formal entre el tutor, el cliente y el equipo de desarrollo para dejar constancia inequívoca del alcance validado.</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¿Existen casos de prueba que permitan medir objetivamente el cumplimiento del requisito?</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Redactar casos de prueba específicos (p. ej., creación exitosa de producto, error por campos vacíos) y criterios de aceptación, ya que actualmente falta esta documentación para que el requisito sea verificable.</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por el tutor o el cliente?</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Implementar una bitácora de control de cambios que registre y evidencie la incorporación de cada sugerencia realizada por el tutor o el cliente.</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mantiene la coherencia con otros requisitos del sistema y se utilizan términos o definiciones de forma uniforme a lo largo del documento?</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Revisar la descripción del requisito para eliminar redundancias y asegurar que todos los conceptos coincidan estrictamente con el glosario del proyecto.</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¿Todos los requerimientos han sido acordados con todos los interesados?</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Realizar sesiones de validación y consenso con todos los interesados clave antes de cerrar la especificación de requerimientos, para asegurar que reflejen las necesidades puntuales.</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14. Recomendaciones derivadas del análisis – CU001.1</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CU001.2 Gestionar unidades de medida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lastRenderedPageBreak/>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todos los entregables de la entrevista (videoconferencia, minuta, acta de aceptación)?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Gestionar la firma del acta de aceptación formal entre el cliente, el tutor y el equipo de desarrollo, para ratificar la validación de las entradas registradas (nombre, abreviatura y estado) y de las salidas requeridas para la integración con los procesos de productos y compras.</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¿Existen casos de prueba que permitan medir objetivamente el cumplimiento del requisito?</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Diseñar casos de prueba específicos y criterios de aceptación detallados que evalúen la creación, modificación y desactivación/eliminación de unidades de medida, validando restricciones como la duplicidad de nombres o abreviaturas y garantizando que solo las unidades activas estén disponibles en los formularios de productos y compras.</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por el tutor o el cliente?</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Establecer una bitácora de control de cambios que dé trazabilidad a las correcciones y observaciones del cliente y del tutor sobre el caso de uso, y evidencie que las modificaciones al flujo del Administrador y a la estructura de datos mantienen coherencia con la evolución de los requerimientos.</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mantiene la coherencia con otros requisitos del sistema y se utilizan términos o definiciones de forma uniforme a lo largo del documento?</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Apoyarse en la misma bitácora de control de cambios para verificar que las modificaciones al flujo del Administrador y a la estructura de datos se mantengan coherentes con los demás requerimientos y con el glosario.</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¿Todos los requerimientos han sido acordados con todos los interesados?</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Coordinar sesiones de validación y consenso con los interesados clave (administradores del sistema y responsables de compras e inventario) antes del cierre del documento de especificación, para confirmar que los flujos de creación, modificación y uso de unidades de medida responden a los procesos operativos del negocio.</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15. Recomendaciones derivadas del análisis – CU001.2</w:t>
      </w:r>
    </w:p>
    <w:p w:rsidR="00C25009" w:rsidRPr="00936480" w:rsidRDefault="009044B3" w:rsidP="00516C45">
      <w:pPr>
        <w:keepNext/>
        <w:spacing w:after="120" w:line="276" w:lineRule="auto"/>
        <w:jc w:val="both"/>
        <w:rPr>
          <w:rFonts w:ascii="Sans Serif Collection" w:hAnsi="Sans Serif Collection" w:cs="Sans Serif Collection"/>
        </w:rPr>
      </w:pPr>
      <w:r>
        <w:rPr>
          <w:rFonts w:ascii="Sans Serif Collection" w:hAnsi="Sans Serif Collection" w:cs="Sans Serif Collection"/>
          <w:b/>
          <w:bCs/>
        </w:rPr>
        <w:t xml:space="preserve">CU001.4 Consolidar inventario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lastRenderedPageBreak/>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validado y aprobado formalmente con el cliente y la docente las reglas del CU «Consolidar inventario del sistema»?</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Registrar en una minuta o acta la aceptación del cliente tras cada sesión de elicitación, adjuntarla al repositorio del proyecto y completar los campos de «Aprobación» del SRS (sección 1.3).</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¿Está definido sin ambigüedad cómo se calculan las existencias consolidadas y quién dispara la consolidación?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Documentar, de acuerdo con el cliente, la regla de cálculo (cómo se combinan conteo físico y compras y de dónde se derivan las salidas por producto) y aclarar si la consolidación es automática o iniciada por el Administrador, usando un único criterio en Alcance, CU y RF-04.</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incorporado los cambios sugeridos en la revisión del SRS?</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Resolver las notas pendientes de la sección 1.1, unificar el nombre del proyecto (SIMP / BACAM_IMP) y alinear el nombre del CU entre diagrama y descripción, apoyándose en un registro de cambios por revisión.</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4</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¿Son coherentes entre sí el diagrama de casos de uso y la descripción del CU?</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Corregir el sentido de &lt;&lt;include&gt;&gt; (desde el caso base hacia el incluido), relacionar en el diagrama el registro de conteos físicos con la consolidación y representar al actor Sistema donde la descripción lo declara.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5</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¿Se han definido criterios de aceptación y casos de prueba que permitan medir objetivamente el cumplimiento del requisito?</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Elaborar criterios de aceptación en formato Given-When-Then (p. ej.: dado un conteo físico y compras registradas de un producto, cuando el Administrador consolida, entonces las existencias y el detalle de entradas y salidas se actualizan), cada uno cubierto por al menos un caso de prueba; confirmar con el cliente si se requiere un tiempo máximo de respuesta.</w:t>
            </w:r>
          </w:p>
        </w:tc>
      </w:tr>
      <w:tr w:rsidR="00C25009" w:rsidRPr="00936480">
        <w:tblPrEx>
          <w:tblCellMar>
            <w:top w:w="0" w:type="dxa"/>
            <w:bottom w:w="0" w:type="dxa"/>
          </w:tblCellMar>
        </w:tblPrEx>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6</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¿Contiene el CU toda la información necesaria (precondiciones, postcondiciones, flujos) para entender y diseñar la función?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C25009" w:rsidRPr="00936480" w:rsidRDefault="009044B3" w:rsidP="00516C45">
            <w:pPr>
              <w:keepNext/>
              <w:jc w:val="both"/>
              <w:rPr>
                <w:rFonts w:ascii="Sans Serif Collection" w:hAnsi="Sans Serif Collection" w:cs="Sans Serif Collection"/>
              </w:rPr>
            </w:pPr>
            <w:r>
              <w:rPr>
                <w:rFonts w:ascii="Sans Serif Collection" w:hAnsi="Sans Serif Collection" w:cs="Sans Serif Collection"/>
                <w:sz w:val="20"/>
                <w:szCs w:val="20"/>
              </w:rPr>
              <w:t xml:space="preserve">Agregar precondiciones (usuario autenticado, conteos y compras registrados), postcondiciones, flujo principal y alternos; completar la descripción de RF-04, añadir un RF-UI para la pantalla de consolidación, incluir «Consolidación» en el glosario y asignar un ID explícito al CU.</w:t>
            </w:r>
          </w:p>
        </w:tc>
      </w:tr>
    </w:tbl>
    <w:p w:rsidR="00C25009" w:rsidRPr="00936480" w:rsidRDefault="009044B3" w:rsidP="00516C45">
      <w:pPr>
        <w:spacing w:before="80" w:after="200"/>
        <w:jc w:val="both"/>
        <w:rPr>
          <w:rFonts w:ascii="Sans Serif Collection" w:hAnsi="Sans Serif Collection" w:cs="Sans Serif Collection"/>
        </w:rPr>
      </w:pPr>
      <w:r>
        <w:rPr>
          <w:rFonts w:ascii="Sans Serif Collection" w:hAnsi="Sans Serif Collection" w:cs="Sans Serif Collection"/>
          <w:i/>
          <w:iCs/>
          <w:sz w:val="20"/>
          <w:szCs w:val="20"/>
        </w:rPr>
        <w:t xml:space="preserve">Tabla 16. Recomendaciones derivadas del análisis – CU001.4</w:t>
      </w:r>
    </w:p>
    <w:p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Recomendación final: </w:t>
      </w:r>
      <w:r>
        <w:rPr>
          <w:rFonts w:ascii="Sans Serif Collection" w:hAnsi="Sans Serif Collection" w:cs="Sans Serif Collection"/>
        </w:rPr>
        <w:t xml:space="preserve">Establecer como práctica del equipo un registro de control de cambios, una matriz de trazabilidad y criterios de aceptación con casos de prueba para cada caso de uso, y formalizar la aceptación del cliente mediante actas, de modo que los requerimientos del SIMP sean verificables, trazables y acordados antes de pasar al diseño.</w:t>
      </w:r>
    </w:p>
    <w:p w:rsidR="00C25009" w:rsidRPr="00936480" w:rsidRDefault="009044B3" w:rsidP="00516C45">
      <w:pPr>
        <w:spacing w:before="400" w:after="600"/>
        <w:jc w:val="both"/>
        <w:rPr>
          <w:rFonts w:ascii="Sans Serif Collection" w:hAnsi="Sans Serif Collection" w:cs="Sans Serif Collection"/>
        </w:rPr>
      </w:pPr>
      <w:r>
        <w:rPr>
          <w:rFonts w:ascii="Sans Serif Collection" w:hAnsi="Sans Serif Collection" w:cs="Sans Serif Collection"/>
        </w:rPr>
        <w:t xml:space="preserve">Quito, 7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C25009" w:rsidRPr="00936480">
        <w:tblPrEx>
          <w:tblCellMar>
            <w:top w:w="0" w:type="dxa"/>
            <w:bottom w:w="0" w:type="dxa"/>
          </w:tblCellMar>
        </w:tblPrEx>
        <w:tc>
          <w:tcPr>
            <w:tcW w:w="4819" w:type="dxa"/>
          </w:tcPr>
          <w:p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Báez Jaramillo Gabriel Alejandro</w:t>
            </w:r>
          </w:p>
          <w:p w:rsidR="00C25009" w:rsidRPr="00936480" w:rsidRDefault="009C260F" w:rsidP="00516C45">
            <w:pPr>
              <w:jc w:val="center"/>
              <w:rPr>
                <w:rFonts w:ascii="Sans Serif Collection" w:hAnsi="Sans Serif Collection" w:cs="Sans Serif Collection"/>
              </w:rPr>
            </w:pPr>
            <w:proofErr w:type="spellStart"/>
            <w:proofErr w:type="spellEnd"/>
            <w:r>
              <w:rPr>
                <w:rFonts w:ascii="Sans Serif Collection" w:hAnsi="Sans Serif Collection" w:cs="Sans Serif Collection"/>
                <w:sz w:val="20"/>
                <w:szCs w:val="20"/>
              </w:rPr>
              <w:t xml:space="preserve">Estudiante líder</w:t>
            </w:r>
          </w:p>
        </w:tc>
        <w:tc>
          <w:tcPr>
            <w:tcW w:w="4819" w:type="dxa"/>
          </w:tcPr>
          <w:p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Guayanay Lema Erika Vannesa</w:t>
            </w:r>
          </w:p>
          <w:p w:rsidR="00C25009" w:rsidRPr="00936480" w:rsidRDefault="009044B3" w:rsidP="00516C45">
            <w:pPr>
              <w:jc w:val="center"/>
              <w:rPr>
                <w:rFonts w:ascii="Sans Serif Collection" w:hAnsi="Sans Serif Collection" w:cs="Sans Serif Collection"/>
              </w:rPr>
            </w:pPr>
            <w:r>
              <w:rPr>
                <w:rFonts w:ascii="Sans Serif Collection" w:hAnsi="Sans Serif Collection" w:cs="Sans Serif Collection"/>
              </w:rPr>
              <w:t xml:space="preserve">Isaac </w:t>
            </w:r>
            <w:r>
              <w:rPr>
                <w:rFonts w:ascii="Sans Serif Collection" w:hAnsi="Sans Serif Collection" w:cs="Sans Serif Collection"/>
                <w:highlight w:val="yellow"/>
              </w:rPr>
              <w:t xml:space="preserve">[apellidos]</w:t>
            </w:r>
          </w:p>
          <w:p w:rsidR="00C25009" w:rsidRPr="00936480" w:rsidRDefault="009C260F" w:rsidP="00516C45">
            <w:pPr>
              <w:jc w:val="center"/>
              <w:rPr>
                <w:rFonts w:ascii="Sans Serif Collection" w:hAnsi="Sans Serif Collection" w:cs="Sans Serif Collection"/>
              </w:rPr>
            </w:pPr>
            <w:r>
              <w:rPr>
                <w:rFonts w:ascii="Sans Serif Collection" w:hAnsi="Sans Serif Collection" w:cs="Sans Serif Collection"/>
                <w:sz w:val="20"/>
                <w:szCs w:val="20"/>
              </w:rPr>
              <w:t xml:space="preserve">Estudiantes</w:t>
            </w:r>
          </w:p>
        </w:tc>
      </w:tr>
    </w:tbl>
    <w:p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5. ANEXOS</w:t>
      </w:r>
    </w:p>
    <w:p w:rsidR="00C25009" w:rsidRPr="00936480" w:rsidRDefault="009044B3" w:rsidP="00516C45">
      <w:pPr>
        <w:pStyle w:val="Prrafodelista"/>
        <w:numPr>
          <w:ilvl w:val="0"/>
          <w:numId w:val="2"/>
        </w:numPr>
        <w:spacing w:after="80"/>
        <w:jc w:val="both"/>
        <w:rPr>
          <w:rFonts w:ascii="Sans Serif Collection" w:hAnsi="Sans Serif Collection" w:cs="Sans Serif Collection"/>
        </w:rPr>
      </w:pPr>
      <w:r>
        <w:rPr>
          <w:rFonts w:ascii="Sans Serif Collection" w:hAnsi="Sans Serif Collection" w:cs="Sans Serif Collection"/>
        </w:rPr>
        <w:t xml:space="preserve">Anexo A: G3_Matriz_IREB1.xlsx (hojas: Matriz Check List, Modelo Lista de Comprobación de cada caso de uso y Recomendaciones CU001.1, CU001.2 y CU001.4)</w:t>
      </w:r>
    </w:p>
    <w:sectPr w:rsidR="00C25009" w:rsidRPr="00936480">
      <w:headerReference w:type="default" r:id="rId7"/>
      <w:footerReference w:type="default" r:id="rId8"/>
      <w:headerReference w:type="first" r:id="rId9"/>
      <w:pgSz w:w="11906" w:h="16838"/>
      <w:pgMar w:top="1304" w:right="1134" w:bottom="130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1E0A7" w14:textId="77777777" w:rsidR="009044B3" w:rsidRDefault="009044B3">
      <w:r>
        <w:separator/>
      </w:r>
    </w:p>
  </w:endnote>
  <w:endnote w:type="continuationSeparator" w:id="0">
    <w:p w14:paraId="6A6BAE01" w14:textId="77777777" w:rsidR="009044B3" w:rsidRDefault="00904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C82A" w14:textId="77777777" w:rsidR="00C25009" w:rsidRDefault="009044B3">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C260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260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F2DF2" w14:textId="77777777" w:rsidR="009044B3" w:rsidRDefault="009044B3">
      <w:r>
        <w:separator/>
      </w:r>
    </w:p>
  </w:footnote>
  <w:footnote w:type="continuationSeparator" w:id="0">
    <w:p w14:paraId="5DE73D69" w14:textId="77777777" w:rsidR="009044B3" w:rsidRDefault="00904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99BE" w14:textId="77777777" w:rsidR="00C25009" w:rsidRDefault="009044B3">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67AB" w14:textId="1B3277E9" w:rsidR="00936480" w:rsidRPr="00516C45" w:rsidRDefault="00936480" w:rsidP="00516C45">
    <w:pPr>
      <w:rPr>
        <w:rFonts w:ascii="Sans Serif Collection" w:hAnsi="Sans Serif Collection" w:cs="Sans Serif Collection"/>
        <w:sz w:val="24"/>
        <w:szCs w:val="24"/>
      </w:rPr>
    </w:pPr>
    <w:r w:rsidRPr="00516C45">
      <w:rPr>
        <w:rFonts w:ascii="Sans Serif Collection" w:hAnsi="Sans Serif Collection" w:cs="Sans Serif Collection"/>
        <w:noProof/>
        <w:sz w:val="24"/>
        <w:szCs w:val="24"/>
        <w:lang w:val="es-ES" w:eastAsia="es-ES"/>
      </w:rPr>
      <w:drawing>
        <wp:anchor distT="0" distB="0" distL="114300" distR="114300" simplePos="0" relativeHeight="251659264" behindDoc="0" locked="0" layoutInCell="1" allowOverlap="1" wp14:anchorId="11D1D637" wp14:editId="10F18DDE">
          <wp:simplePos x="0" y="0"/>
          <wp:positionH relativeFrom="column">
            <wp:posOffset>4353560</wp:posOffset>
          </wp:positionH>
          <wp:positionV relativeFrom="paragraph">
            <wp:posOffset>7620</wp:posOffset>
          </wp:positionV>
          <wp:extent cx="1828800" cy="457200"/>
          <wp:effectExtent l="0" t="0" r="0" b="0"/>
          <wp:wrapSquare wrapText="bothSides"/>
          <wp:docPr id="26" name="Imagen 26"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C45">
      <w:rPr>
        <w:rFonts w:ascii="Sans Serif Collection" w:hAnsi="Sans Serif Collection" w:cs="Sans Serif Collection"/>
        <w:b/>
        <w:bCs/>
        <w:color w:val="595959"/>
        <w:sz w:val="28"/>
        <w:szCs w:val="28"/>
      </w:rPr>
      <w:t>UNIVERSIDAD DE LAS FUERZAS ARMADAS ESPE</w:t>
    </w:r>
  </w:p>
  <w:p w14:paraId="398EDD1E" w14:textId="15BEB6D6" w:rsidR="00936480" w:rsidRPr="00516C45" w:rsidRDefault="00936480" w:rsidP="00516C45">
    <w:pPr>
      <w:rPr>
        <w:rFonts w:ascii="Sans Serif Collection" w:hAnsi="Sans Serif Collection" w:cs="Sans Serif Collection"/>
      </w:rPr>
    </w:pPr>
    <w:r w:rsidRPr="00516C45">
      <w:rPr>
        <w:rFonts w:ascii="Sans Serif Collection" w:hAnsi="Sans Serif Collection" w:cs="Sans Serif Collection"/>
        <w:color w:val="595959"/>
        <w:sz w:val="24"/>
        <w:szCs w:val="24"/>
      </w:rPr>
      <w:t>Departamento de Ciencias de la Computación (DCC</w:t>
    </w:r>
    <w:r w:rsidRPr="00516C45">
      <w:rPr>
        <w:rFonts w:ascii="Sans Serif Collection" w:hAnsi="Sans Serif Collection" w:cs="Sans Serif Collection"/>
        <w:color w:val="595959"/>
        <w:sz w:val="24"/>
        <w:szCs w:val="24"/>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85BC9"/>
    <w:multiLevelType w:val="hybridMultilevel"/>
    <w:tmpl w:val="F9247F20"/>
    <w:lvl w:ilvl="0" w:tplc="6F208138">
      <w:start w:val="1"/>
      <w:numFmt w:val="bullet"/>
      <w:lvlText w:val="•"/>
      <w:lvlJc w:val="left"/>
      <w:pPr>
        <w:ind w:left="720" w:hanging="360"/>
      </w:pPr>
    </w:lvl>
    <w:lvl w:ilvl="1" w:tplc="C0FABCBA">
      <w:numFmt w:val="decimal"/>
      <w:lvlText w:val=""/>
      <w:lvlJc w:val="left"/>
    </w:lvl>
    <w:lvl w:ilvl="2" w:tplc="D4B6E860">
      <w:numFmt w:val="decimal"/>
      <w:lvlText w:val=""/>
      <w:lvlJc w:val="left"/>
    </w:lvl>
    <w:lvl w:ilvl="3" w:tplc="532E9DCE">
      <w:numFmt w:val="decimal"/>
      <w:lvlText w:val=""/>
      <w:lvlJc w:val="left"/>
    </w:lvl>
    <w:lvl w:ilvl="4" w:tplc="798C5C36">
      <w:numFmt w:val="decimal"/>
      <w:lvlText w:val=""/>
      <w:lvlJc w:val="left"/>
    </w:lvl>
    <w:lvl w:ilvl="5" w:tplc="F2F8BE4C">
      <w:numFmt w:val="decimal"/>
      <w:lvlText w:val=""/>
      <w:lvlJc w:val="left"/>
    </w:lvl>
    <w:lvl w:ilvl="6" w:tplc="EEE8C218">
      <w:numFmt w:val="decimal"/>
      <w:lvlText w:val=""/>
      <w:lvlJc w:val="left"/>
    </w:lvl>
    <w:lvl w:ilvl="7" w:tplc="9DFC46B2">
      <w:numFmt w:val="decimal"/>
      <w:lvlText w:val=""/>
      <w:lvlJc w:val="left"/>
    </w:lvl>
    <w:lvl w:ilvl="8" w:tplc="77AA599A">
      <w:numFmt w:val="decimal"/>
      <w:lvlText w:val=""/>
      <w:lvlJc w:val="left"/>
    </w:lvl>
  </w:abstractNum>
  <w:abstractNum w:abstractNumId="1" w15:restartNumberingAfterBreak="0">
    <w:nsid w:val="1A944AF4"/>
    <w:multiLevelType w:val="hybridMultilevel"/>
    <w:tmpl w:val="6302A33E"/>
    <w:lvl w:ilvl="0" w:tplc="2B2A6472">
      <w:start w:val="1"/>
      <w:numFmt w:val="bullet"/>
      <w:lvlText w:val="●"/>
      <w:lvlJc w:val="left"/>
      <w:pPr>
        <w:ind w:left="720" w:hanging="360"/>
      </w:pPr>
    </w:lvl>
    <w:lvl w:ilvl="1" w:tplc="DFAEABD6">
      <w:start w:val="1"/>
      <w:numFmt w:val="bullet"/>
      <w:lvlText w:val="○"/>
      <w:lvlJc w:val="left"/>
      <w:pPr>
        <w:ind w:left="1440" w:hanging="360"/>
      </w:pPr>
    </w:lvl>
    <w:lvl w:ilvl="2" w:tplc="BC56A43C">
      <w:start w:val="1"/>
      <w:numFmt w:val="bullet"/>
      <w:lvlText w:val="■"/>
      <w:lvlJc w:val="left"/>
      <w:pPr>
        <w:ind w:left="2160" w:hanging="360"/>
      </w:pPr>
    </w:lvl>
    <w:lvl w:ilvl="3" w:tplc="450A1FC2">
      <w:start w:val="1"/>
      <w:numFmt w:val="bullet"/>
      <w:lvlText w:val="●"/>
      <w:lvlJc w:val="left"/>
      <w:pPr>
        <w:ind w:left="2880" w:hanging="360"/>
      </w:pPr>
    </w:lvl>
    <w:lvl w:ilvl="4" w:tplc="A7BED7C0">
      <w:start w:val="1"/>
      <w:numFmt w:val="bullet"/>
      <w:lvlText w:val="○"/>
      <w:lvlJc w:val="left"/>
      <w:pPr>
        <w:ind w:left="3600" w:hanging="360"/>
      </w:pPr>
    </w:lvl>
    <w:lvl w:ilvl="5" w:tplc="693802FA">
      <w:start w:val="1"/>
      <w:numFmt w:val="bullet"/>
      <w:lvlText w:val="■"/>
      <w:lvlJc w:val="left"/>
      <w:pPr>
        <w:ind w:left="4320" w:hanging="360"/>
      </w:pPr>
    </w:lvl>
    <w:lvl w:ilvl="6" w:tplc="7460E7AC">
      <w:start w:val="1"/>
      <w:numFmt w:val="bullet"/>
      <w:lvlText w:val="●"/>
      <w:lvlJc w:val="left"/>
      <w:pPr>
        <w:ind w:left="5040" w:hanging="360"/>
      </w:pPr>
    </w:lvl>
    <w:lvl w:ilvl="7" w:tplc="7688DF2E">
      <w:start w:val="1"/>
      <w:numFmt w:val="bullet"/>
      <w:lvlText w:val="●"/>
      <w:lvlJc w:val="left"/>
      <w:pPr>
        <w:ind w:left="5760" w:hanging="360"/>
      </w:pPr>
    </w:lvl>
    <w:lvl w:ilvl="8" w:tplc="A0323D26">
      <w:start w:val="1"/>
      <w:numFmt w:val="bullet"/>
      <w:lvlText w:val="●"/>
      <w:lvlJc w:val="left"/>
      <w:pPr>
        <w:ind w:left="6480" w:hanging="360"/>
      </w:pPr>
    </w:lvl>
  </w:abstractNum>
  <w:abstractNum w:abstractNumId="2" w15:restartNumberingAfterBreak="0">
    <w:nsid w:val="29253C76"/>
    <w:multiLevelType w:val="hybridMultilevel"/>
    <w:tmpl w:val="94BEB08A"/>
    <w:lvl w:ilvl="0" w:tplc="3934E92E">
      <w:start w:val="1"/>
      <w:numFmt w:val="decimal"/>
      <w:lvlText w:val="%1."/>
      <w:lvlJc w:val="left"/>
      <w:pPr>
        <w:ind w:left="720" w:hanging="360"/>
      </w:pPr>
    </w:lvl>
    <w:lvl w:ilvl="1" w:tplc="1BB44752">
      <w:numFmt w:val="decimal"/>
      <w:lvlText w:val=""/>
      <w:lvlJc w:val="left"/>
    </w:lvl>
    <w:lvl w:ilvl="2" w:tplc="9CD04A64">
      <w:numFmt w:val="decimal"/>
      <w:lvlText w:val=""/>
      <w:lvlJc w:val="left"/>
    </w:lvl>
    <w:lvl w:ilvl="3" w:tplc="547A2994">
      <w:numFmt w:val="decimal"/>
      <w:lvlText w:val=""/>
      <w:lvlJc w:val="left"/>
    </w:lvl>
    <w:lvl w:ilvl="4" w:tplc="A0E28FD2">
      <w:numFmt w:val="decimal"/>
      <w:lvlText w:val=""/>
      <w:lvlJc w:val="left"/>
    </w:lvl>
    <w:lvl w:ilvl="5" w:tplc="0A00FF6A">
      <w:numFmt w:val="decimal"/>
      <w:lvlText w:val=""/>
      <w:lvlJc w:val="left"/>
    </w:lvl>
    <w:lvl w:ilvl="6" w:tplc="1D82835E">
      <w:numFmt w:val="decimal"/>
      <w:lvlText w:val=""/>
      <w:lvlJc w:val="left"/>
    </w:lvl>
    <w:lvl w:ilvl="7" w:tplc="281AB57A">
      <w:numFmt w:val="decimal"/>
      <w:lvlText w:val=""/>
      <w:lvlJc w:val="left"/>
    </w:lvl>
    <w:lvl w:ilvl="8" w:tplc="96B4E644">
      <w:numFmt w:val="decimal"/>
      <w:lvlText w:val=""/>
      <w:lvlJc w:val="left"/>
    </w:lvl>
  </w:abstractNum>
  <w:abstractNum w:abstractNumId="3" w15:restartNumberingAfterBreak="0">
    <w:nsid w:val="5AB76C8C"/>
    <w:multiLevelType w:val="hybridMultilevel"/>
    <w:tmpl w:val="11CAE32E"/>
    <w:lvl w:ilvl="0" w:tplc="FFB6915A">
      <w:start w:val="1"/>
      <w:numFmt w:val="decimal"/>
      <w:lvlText w:val="%1."/>
      <w:lvlJc w:val="left"/>
      <w:pPr>
        <w:ind w:left="720" w:hanging="360"/>
      </w:pPr>
    </w:lvl>
    <w:lvl w:ilvl="1" w:tplc="A08E17B8">
      <w:numFmt w:val="decimal"/>
      <w:lvlText w:val=""/>
      <w:lvlJc w:val="left"/>
    </w:lvl>
    <w:lvl w:ilvl="2" w:tplc="77C09B04">
      <w:numFmt w:val="decimal"/>
      <w:lvlText w:val=""/>
      <w:lvlJc w:val="left"/>
    </w:lvl>
    <w:lvl w:ilvl="3" w:tplc="86B8A978">
      <w:numFmt w:val="decimal"/>
      <w:lvlText w:val=""/>
      <w:lvlJc w:val="left"/>
    </w:lvl>
    <w:lvl w:ilvl="4" w:tplc="F8F0B998">
      <w:numFmt w:val="decimal"/>
      <w:lvlText w:val=""/>
      <w:lvlJc w:val="left"/>
    </w:lvl>
    <w:lvl w:ilvl="5" w:tplc="73F04A2A">
      <w:numFmt w:val="decimal"/>
      <w:lvlText w:val=""/>
      <w:lvlJc w:val="left"/>
    </w:lvl>
    <w:lvl w:ilvl="6" w:tplc="B3A09A50">
      <w:numFmt w:val="decimal"/>
      <w:lvlText w:val=""/>
      <w:lvlJc w:val="left"/>
    </w:lvl>
    <w:lvl w:ilvl="7" w:tplc="85AA4EFC">
      <w:numFmt w:val="decimal"/>
      <w:lvlText w:val=""/>
      <w:lvlJc w:val="left"/>
    </w:lvl>
    <w:lvl w:ilvl="8" w:tplc="91B68CD6">
      <w:numFmt w:val="decimal"/>
      <w:lvlText w:val=""/>
      <w:lvlJc w:val="left"/>
    </w:lvl>
  </w:abstractNum>
  <w:abstractNum w:abstractNumId="4" w15:restartNumberingAfterBreak="0">
    <w:nsid w:val="681B247E"/>
    <w:multiLevelType w:val="hybridMultilevel"/>
    <w:tmpl w:val="48E01136"/>
    <w:lvl w:ilvl="0" w:tplc="97FAF998">
      <w:start w:val="1"/>
      <w:numFmt w:val="decimal"/>
      <w:lvlText w:val="%1."/>
      <w:lvlJc w:val="left"/>
      <w:pPr>
        <w:ind w:left="720" w:hanging="360"/>
      </w:pPr>
    </w:lvl>
    <w:lvl w:ilvl="1" w:tplc="F4FAC91C">
      <w:numFmt w:val="decimal"/>
      <w:lvlText w:val=""/>
      <w:lvlJc w:val="left"/>
    </w:lvl>
    <w:lvl w:ilvl="2" w:tplc="E910D018">
      <w:numFmt w:val="decimal"/>
      <w:lvlText w:val=""/>
      <w:lvlJc w:val="left"/>
    </w:lvl>
    <w:lvl w:ilvl="3" w:tplc="BE6A6CF4">
      <w:numFmt w:val="decimal"/>
      <w:lvlText w:val=""/>
      <w:lvlJc w:val="left"/>
    </w:lvl>
    <w:lvl w:ilvl="4" w:tplc="2E9A4A78">
      <w:numFmt w:val="decimal"/>
      <w:lvlText w:val=""/>
      <w:lvlJc w:val="left"/>
    </w:lvl>
    <w:lvl w:ilvl="5" w:tplc="5CA6A9F0">
      <w:numFmt w:val="decimal"/>
      <w:lvlText w:val=""/>
      <w:lvlJc w:val="left"/>
    </w:lvl>
    <w:lvl w:ilvl="6" w:tplc="D5BC449C">
      <w:numFmt w:val="decimal"/>
      <w:lvlText w:val=""/>
      <w:lvlJc w:val="left"/>
    </w:lvl>
    <w:lvl w:ilvl="7" w:tplc="6C6CC742">
      <w:numFmt w:val="decimal"/>
      <w:lvlText w:val=""/>
      <w:lvlJc w:val="left"/>
    </w:lvl>
    <w:lvl w:ilvl="8" w:tplc="A9F6AEB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9"/>
    <w:rsid w:val="00516C45"/>
    <w:rsid w:val="00851558"/>
    <w:rsid w:val="009044B3"/>
    <w:rsid w:val="00936480"/>
    <w:rsid w:val="009C260F"/>
    <w:rsid w:val="00C25009"/>
    <w:rsid w:val="00F308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BC5"/>
  <w15:docId w15:val="{ABAFEF5D-B399-41AB-BE64-C80851FC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customStyle="1" w:styleId="EncabezadoCar">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customStyle="1" w:styleId="PiedepginaCar">
    <w:name w:val="Pie de página Car"/>
    <w:basedOn w:val="Fuentedeprrafopredeter"/>
    <w:link w:val="Piedepgina"/>
    <w:uiPriority w:val="99"/>
    <w:rsid w:val="0093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Chart1" Type="http://schemas.openxmlformats.org/officeDocument/2006/relationships/image" Target="media/chart1.png"/><Relationship Id="rIdChart2" Type="http://schemas.openxmlformats.org/officeDocument/2006/relationships/image" Target="media/chart2.png"/><Relationship Id="rIdChart3" Type="http://schemas.openxmlformats.org/officeDocument/2006/relationships/image" Target="media/chart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913</Words>
  <Characters>5022</Characters>
  <Application>Microsoft Office Word</Application>
  <DocSecurity>0</DocSecurity>
  <Lines>41</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IREB_Proyectos</dc:title>
  <dc:creator>Jenny Ruiz</dc:creator>
  <cp:lastModifiedBy>MSc. JENNY ALEXANDRA RUIZ ROBALINO</cp:lastModifiedBy>
  <cp:revision>5</cp:revision>
  <dcterms:created xsi:type="dcterms:W3CDTF">2026-10-07T17:37:00Z</dcterms:created>
  <dcterms:modified xsi:type="dcterms:W3CDTF">2026-10-07T17:44:00Z</dcterms:modified>
</cp:coreProperties>
</file>