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7AC5" w14:textId="511F55FC" w:rsidR="00EB4C6D" w:rsidRPr="00EB4C6D" w:rsidRDefault="00EB4C6D" w:rsidP="00EB4C6D">
      <w:pPr>
        <w:rPr>
          <w:b/>
          <w:bCs/>
          <w:u w:val="single"/>
        </w:rPr>
      </w:pPr>
      <w:r w:rsidRPr="00EB4C6D">
        <w:rPr>
          <w:b/>
          <w:bCs/>
          <w:sz w:val="28"/>
          <w:szCs w:val="28"/>
        </w:rPr>
        <w:br/>
      </w:r>
      <w:r w:rsidRPr="00EB4C6D">
        <w:rPr>
          <w:b/>
          <w:bCs/>
          <w:sz w:val="28"/>
          <w:szCs w:val="28"/>
        </w:rPr>
        <w:t>Americanas S.A. e a LGPD: Análise do Incidente de Dados de 2023</w:t>
      </w:r>
      <w:r>
        <w:rPr>
          <w:b/>
          <w:bCs/>
        </w:rPr>
        <w:br/>
      </w:r>
      <w:r>
        <w:rPr>
          <w:b/>
          <w:bCs/>
        </w:rPr>
        <w:br/>
      </w:r>
      <w:r>
        <w:rPr>
          <w:b/>
          <w:bCs/>
          <w:color w:val="000000"/>
          <w:sz w:val="24"/>
          <w:szCs w:val="24"/>
        </w:rPr>
        <w:t xml:space="preserve">Grupo: Danilo Silvestre Faustino — RA: 03231045 | Gabriel </w:t>
      </w:r>
      <w:proofErr w:type="spellStart"/>
      <w:r>
        <w:rPr>
          <w:b/>
          <w:bCs/>
          <w:color w:val="000000"/>
          <w:sz w:val="24"/>
          <w:szCs w:val="24"/>
        </w:rPr>
        <w:t>Boos</w:t>
      </w:r>
      <w:proofErr w:type="spellEnd"/>
      <w:r>
        <w:rPr>
          <w:b/>
          <w:bCs/>
          <w:color w:val="000000"/>
          <w:sz w:val="24"/>
          <w:szCs w:val="24"/>
        </w:rPr>
        <w:t xml:space="preserve"> Duarte — RA: 03231030 | Gabriel Sanchez — RA: 03231004 | Pedro </w:t>
      </w:r>
      <w:proofErr w:type="spellStart"/>
      <w:r>
        <w:rPr>
          <w:b/>
          <w:bCs/>
          <w:color w:val="000000"/>
          <w:sz w:val="24"/>
          <w:szCs w:val="24"/>
        </w:rPr>
        <w:t>Primon</w:t>
      </w:r>
      <w:proofErr w:type="spellEnd"/>
      <w:r>
        <w:rPr>
          <w:b/>
          <w:bCs/>
          <w:color w:val="000000"/>
          <w:sz w:val="24"/>
          <w:szCs w:val="24"/>
        </w:rPr>
        <w:t xml:space="preserve"> — RA: 0323014 | Pedro Paulo Pinto — RA: 0323015</w:t>
      </w:r>
      <w:r>
        <w:rPr>
          <w:b/>
          <w:bCs/>
        </w:rPr>
        <w:br/>
      </w:r>
    </w:p>
    <w:p w14:paraId="41B7D8F8" w14:textId="77777777" w:rsidR="00EB4C6D" w:rsidRPr="00EB4C6D" w:rsidRDefault="00EB4C6D" w:rsidP="00EB4C6D">
      <w:pPr>
        <w:rPr>
          <w:b/>
          <w:bCs/>
        </w:rPr>
      </w:pPr>
      <w:r w:rsidRPr="00EB4C6D">
        <w:rPr>
          <w:b/>
          <w:bCs/>
        </w:rPr>
        <w:t xml:space="preserve">1. Falhas de </w:t>
      </w:r>
      <w:r w:rsidRPr="00EB4C6D">
        <w:rPr>
          <w:b/>
          <w:bCs/>
          <w:u w:val="single"/>
        </w:rPr>
        <w:t>segurança</w:t>
      </w:r>
      <w:r w:rsidRPr="00EB4C6D">
        <w:rPr>
          <w:b/>
          <w:bCs/>
        </w:rPr>
        <w:t xml:space="preserve"> identificadas</w:t>
      </w:r>
    </w:p>
    <w:p w14:paraId="450B703E" w14:textId="77777777" w:rsidR="00EB4C6D" w:rsidRPr="00EB4C6D" w:rsidRDefault="00EB4C6D" w:rsidP="00EB4C6D">
      <w:r w:rsidRPr="00EB4C6D">
        <w:t>O caso da Americanas ilustra um problema que a LGPD endereça diretamente no art. 46: o controlador deve adotar medidas técnicas e administrativas aptas a proteger dados pessoais de acessos não autorizados e situações acidentais. A "instabilidade" alegada pela empresa não afasta a responsabilidade — pelo contrário, incidentes internos muitas vezes revelam falhas mais profundas do que ataques externos.</w:t>
      </w:r>
    </w:p>
    <w:p w14:paraId="62DDE5AB" w14:textId="77777777" w:rsidR="00EB4C6D" w:rsidRPr="00EB4C6D" w:rsidRDefault="00EB4C6D" w:rsidP="00EB4C6D">
      <w:r w:rsidRPr="00EB4C6D">
        <w:t xml:space="preserve">Do ponto de vista técnico, as falhas prováveis incluem ausência ou insuficiência de controles de acesso por privilégio mínimo (princípio do </w:t>
      </w:r>
      <w:proofErr w:type="spellStart"/>
      <w:r w:rsidRPr="00EB4C6D">
        <w:t>least</w:t>
      </w:r>
      <w:proofErr w:type="spellEnd"/>
      <w:r w:rsidRPr="00EB4C6D">
        <w:t xml:space="preserve"> </w:t>
      </w:r>
      <w:proofErr w:type="spellStart"/>
      <w:r w:rsidRPr="00EB4C6D">
        <w:t>privilege</w:t>
      </w:r>
      <w:proofErr w:type="spellEnd"/>
      <w:r w:rsidRPr="00EB4C6D">
        <w:t>), onde usuários ou processos internos teriam acesso a volumes de dados muito além do necessário para sua função. Soma-se a isso a falta de criptografia adequada em repouso (</w:t>
      </w:r>
      <w:proofErr w:type="spellStart"/>
      <w:r w:rsidRPr="00EB4C6D">
        <w:t>at</w:t>
      </w:r>
      <w:proofErr w:type="spellEnd"/>
      <w:r w:rsidRPr="00EB4C6D">
        <w:t xml:space="preserve"> </w:t>
      </w:r>
      <w:proofErr w:type="spellStart"/>
      <w:r w:rsidRPr="00EB4C6D">
        <w:t>rest</w:t>
      </w:r>
      <w:proofErr w:type="spellEnd"/>
      <w:r w:rsidRPr="00EB4C6D">
        <w:t xml:space="preserve">): CPFs, e-mails e históricos de compras expostos em texto puro indicam que os dados não estavam cifrados nas camadas de armazenamento. A ausência de monitoramento contínuo de anomalias (SIEM — Security </w:t>
      </w:r>
      <w:proofErr w:type="spellStart"/>
      <w:r w:rsidRPr="00EB4C6D">
        <w:t>Information</w:t>
      </w:r>
      <w:proofErr w:type="spellEnd"/>
      <w:r w:rsidRPr="00EB4C6D">
        <w:t xml:space="preserve"> </w:t>
      </w:r>
      <w:proofErr w:type="spellStart"/>
      <w:r w:rsidRPr="00EB4C6D">
        <w:t>and</w:t>
      </w:r>
      <w:proofErr w:type="spellEnd"/>
      <w:r w:rsidRPr="00EB4C6D">
        <w:t xml:space="preserve"> Event Management) também é indicativa, pois a exposição em larga escala dificilmente ocorreria sem gerar padrões de tráfego detectáveis. Por fim, a inexistência ou falha de um processo de resposta a incidentes estruturado retardou a contenção e a notificação.</w:t>
      </w:r>
    </w:p>
    <w:p w14:paraId="75C0C794" w14:textId="77777777" w:rsidR="00EB4C6D" w:rsidRPr="00EB4C6D" w:rsidRDefault="00EB4C6D" w:rsidP="00EB4C6D">
      <w:r w:rsidRPr="00EB4C6D">
        <w:t>Do ponto de vista organizacional, o cenário sugere carência de uma política de classificação de dados que segmentasse as informações por nível de sensibilidade, e ausência de testes regulares de penetração e auditorias de segurança que detectassem vulnerabilidades antes da exposição.</w:t>
      </w:r>
    </w:p>
    <w:p w14:paraId="7FB57FA2" w14:textId="77777777" w:rsidR="00EB4C6D" w:rsidRPr="00EB4C6D" w:rsidRDefault="00EB4C6D" w:rsidP="00EB4C6D">
      <w:r w:rsidRPr="00EB4C6D">
        <w:pict w14:anchorId="28CE38E1">
          <v:rect id="_x0000_i1043" style="width:0;height:1.5pt" o:hralign="center" o:hrstd="t" o:hr="t" fillcolor="#a0a0a0" stroked="f"/>
        </w:pict>
      </w:r>
    </w:p>
    <w:p w14:paraId="70EE6841" w14:textId="77777777" w:rsidR="00EB4C6D" w:rsidRPr="00EB4C6D" w:rsidRDefault="00EB4C6D" w:rsidP="00EB4C6D">
      <w:pPr>
        <w:rPr>
          <w:b/>
          <w:bCs/>
        </w:rPr>
      </w:pPr>
      <w:r w:rsidRPr="00EB4C6D">
        <w:rPr>
          <w:b/>
          <w:bCs/>
        </w:rPr>
        <w:t>2. Análise da comunicação da Americanas</w:t>
      </w:r>
    </w:p>
    <w:p w14:paraId="05226FF1" w14:textId="77777777" w:rsidR="00EB4C6D" w:rsidRPr="00EB4C6D" w:rsidRDefault="00EB4C6D" w:rsidP="00EB4C6D">
      <w:r w:rsidRPr="00EB4C6D">
        <w:t>A postura inicial da empresa foi problemática sob dois ângulos: o legal e o reputacional.</w:t>
      </w:r>
    </w:p>
    <w:p w14:paraId="152D1A70" w14:textId="77777777" w:rsidR="00EB4C6D" w:rsidRPr="00EB4C6D" w:rsidRDefault="00EB4C6D" w:rsidP="00EB4C6D">
      <w:r w:rsidRPr="00EB4C6D">
        <w:t>Sob a LGPD (art. 48), o controlador tem a obrigação de comunicar à ANPD e aos titulares afetados a ocorrência de incidente de segurança que possa acarretar risco ou dano relevante — e deve fazê-lo em prazo razoável, com informações mínimas como a natureza dos dados afetados, os titulares envolvidos e as medidas adotadas para reversão ou mitigação. A empresa negou publicamente ter sofrido um ataque e caracterizou o evento apenas como "instabilidade", o que levanta dúvidas sobre se a notificação à ANPD foi feita de forma completa, tempestiva e transparente, ou se houve tentativa de minimizar a gravidade do ocorrido.</w:t>
      </w:r>
    </w:p>
    <w:p w14:paraId="7E5C02C4" w14:textId="77777777" w:rsidR="00EB4C6D" w:rsidRPr="00EB4C6D" w:rsidRDefault="00EB4C6D" w:rsidP="00EB4C6D">
      <w:r w:rsidRPr="00EB4C6D">
        <w:t xml:space="preserve">O impacto reputacional foi significativo. Em um momento em que a Americanas já enfrentava uma crise financeira de proporções históricas — com a revelação de um passivo de bilhões em "rombos contábeis" — a exposição de dados dos consumidores adicionou uma camada de desconfiança que agravou a percepção pública. A opacidade </w:t>
      </w:r>
      <w:r w:rsidRPr="00EB4C6D">
        <w:lastRenderedPageBreak/>
        <w:t>na comunicação, ao invés de conter o dano, amplificou a cobertura negativa e reforçou a narrativa de uma empresa com governança fragilizada. Do ponto de vista da LGPD, a falta de transparência com os titulares também viola o princípio do livre acesso e da transparência (art. 6º, IV e VI).</w:t>
      </w:r>
    </w:p>
    <w:p w14:paraId="2AE30F5E" w14:textId="77777777" w:rsidR="00EB4C6D" w:rsidRPr="00EB4C6D" w:rsidRDefault="00EB4C6D" w:rsidP="00EB4C6D">
      <w:r w:rsidRPr="00EB4C6D">
        <w:pict w14:anchorId="0A68DCC5">
          <v:rect id="_x0000_i1044" style="width:0;height:1.5pt" o:hralign="center" o:hrstd="t" o:hr="t" fillcolor="#a0a0a0" stroked="f"/>
        </w:pict>
      </w:r>
    </w:p>
    <w:p w14:paraId="63D14DDB" w14:textId="77777777" w:rsidR="00EB4C6D" w:rsidRPr="00EB4C6D" w:rsidRDefault="00EB4C6D" w:rsidP="00EB4C6D">
      <w:pPr>
        <w:rPr>
          <w:b/>
          <w:bCs/>
        </w:rPr>
      </w:pPr>
      <w:r w:rsidRPr="00EB4C6D">
        <w:rPr>
          <w:b/>
          <w:bCs/>
        </w:rPr>
        <w:t>3. Propostas de soluções e medidas preventivas</w:t>
      </w:r>
    </w:p>
    <w:p w14:paraId="6FA4BA0D" w14:textId="77777777" w:rsidR="00EB4C6D" w:rsidRPr="00EB4C6D" w:rsidRDefault="00EB4C6D" w:rsidP="00EB4C6D">
      <w:r w:rsidRPr="00EB4C6D">
        <w:t>As medidas podem ser agrupadas em dois eixos:</w:t>
      </w:r>
    </w:p>
    <w:p w14:paraId="1D82695B" w14:textId="77777777" w:rsidR="00EB4C6D" w:rsidRPr="00EB4C6D" w:rsidRDefault="00EB4C6D" w:rsidP="00EB4C6D">
      <w:r w:rsidRPr="00EB4C6D">
        <w:rPr>
          <w:b/>
          <w:bCs/>
        </w:rPr>
        <w:t>Eixo técnico:</w:t>
      </w:r>
    </w:p>
    <w:p w14:paraId="2F107970" w14:textId="77777777" w:rsidR="00EB4C6D" w:rsidRPr="00EB4C6D" w:rsidRDefault="00EB4C6D" w:rsidP="00EB4C6D">
      <w:r w:rsidRPr="00EB4C6D">
        <w:t xml:space="preserve">Implementação de criptografia de ponta a ponta — tanto em trânsito (TLS) quanto em repouso — para dados sensíveis como CPF, e-mail e histórico de compras. Adoção de </w:t>
      </w:r>
      <w:proofErr w:type="spellStart"/>
      <w:r w:rsidRPr="00EB4C6D">
        <w:t>pseudonimização</w:t>
      </w:r>
      <w:proofErr w:type="spellEnd"/>
      <w:r w:rsidRPr="00EB4C6D">
        <w:t xml:space="preserve"> e anonimização onde o dado completo não é necessário para a operação (ex.: relatórios analíticos não precisam conter CPF real). Adoção do princípio do menor privilégio em todos os sistemas, com revisões periódicas de permissões. Implantação de SIEM com alertas automatizados para volume anômalo de acessos. Realização de </w:t>
      </w:r>
      <w:proofErr w:type="spellStart"/>
      <w:r w:rsidRPr="00EB4C6D">
        <w:t>pentests</w:t>
      </w:r>
      <w:proofErr w:type="spellEnd"/>
      <w:r w:rsidRPr="00EB4C6D">
        <w:t xml:space="preserve"> e auditorias de segurança ao menos semestralmente, com relatórios compartilhados com a alta direção.</w:t>
      </w:r>
    </w:p>
    <w:p w14:paraId="260F8C10" w14:textId="77777777" w:rsidR="00EB4C6D" w:rsidRPr="00EB4C6D" w:rsidRDefault="00EB4C6D" w:rsidP="00EB4C6D">
      <w:r w:rsidRPr="00EB4C6D">
        <w:rPr>
          <w:b/>
          <w:bCs/>
        </w:rPr>
        <w:t>Eixo organizacional:</w:t>
      </w:r>
    </w:p>
    <w:p w14:paraId="3D7D1B81" w14:textId="77777777" w:rsidR="00EB4C6D" w:rsidRPr="00EB4C6D" w:rsidRDefault="00EB4C6D" w:rsidP="00EB4C6D">
      <w:r w:rsidRPr="00EB4C6D">
        <w:t xml:space="preserve">Criação ou fortalecimento do papel do DPO (Encarregado de Proteção de Dados), conforme exigido pelo art. 41 da LGPD, com autonomia real e canal direto com a ANPD. Elaboração de um Plano de Resposta a Incidentes (IRP) com papéis definidos, fluxos de notificação e simulações regulares. Treinamento obrigatório e periódico de todos os funcionários com acesso a dados pessoais, abordando </w:t>
      </w:r>
      <w:proofErr w:type="spellStart"/>
      <w:r w:rsidRPr="00EB4C6D">
        <w:t>phishing</w:t>
      </w:r>
      <w:proofErr w:type="spellEnd"/>
      <w:r w:rsidRPr="00EB4C6D">
        <w:t>, engenharia social e política de senhas. Implementação de um Programa de Governança em Privacidade que inclua inventário de dados (data mapping), avaliação de impacto à proteção de dados (RIPD/DPIA) para sistemas críticos, e revisão contínua de contratos com fornecedores para garantir cláusulas de responsabilidade por dados.</w:t>
      </w:r>
    </w:p>
    <w:p w14:paraId="0394E79A" w14:textId="77777777" w:rsidR="00EB4C6D" w:rsidRPr="00EB4C6D" w:rsidRDefault="00EB4C6D" w:rsidP="00EB4C6D">
      <w:r w:rsidRPr="00EB4C6D">
        <w:pict w14:anchorId="73EA1A8D">
          <v:rect id="_x0000_i1045" style="width:0;height:1.5pt" o:hralign="center" o:hrstd="t" o:hr="t" fillcolor="#a0a0a0" stroked="f"/>
        </w:pict>
      </w:r>
    </w:p>
    <w:p w14:paraId="0285BA38" w14:textId="77777777" w:rsidR="00EB4C6D" w:rsidRPr="00EB4C6D" w:rsidRDefault="00EB4C6D" w:rsidP="00EB4C6D">
      <w:pPr>
        <w:rPr>
          <w:b/>
          <w:bCs/>
        </w:rPr>
      </w:pPr>
      <w:r w:rsidRPr="00EB4C6D">
        <w:rPr>
          <w:b/>
          <w:bCs/>
        </w:rPr>
        <w:t>4. O papel da ANPD</w:t>
      </w:r>
    </w:p>
    <w:p w14:paraId="5F459D74" w14:textId="77777777" w:rsidR="00EB4C6D" w:rsidRPr="00EB4C6D" w:rsidRDefault="00EB4C6D" w:rsidP="00EB4C6D">
      <w:r w:rsidRPr="00EB4C6D">
        <w:t>A ANPD, criada pelo art. 55-A da LGPD, tem competência para fiscalizar, investigar e sancionar controladores e operadores que descumpram a lei. No caso da Americanas, a autoridade poderia atuar em múltiplas frentes.</w:t>
      </w:r>
    </w:p>
    <w:p w14:paraId="0CB6644E" w14:textId="77777777" w:rsidR="00EB4C6D" w:rsidRPr="00EB4C6D" w:rsidRDefault="00EB4C6D" w:rsidP="00EB4C6D">
      <w:r w:rsidRPr="00EB4C6D">
        <w:t>Na esfera investigativa, a ANPD poderia instaurar processo administrativo para apurar se houve descumprimento do dever de segurança (art. 46), se a notificação foi feita no prazo e com as informações adequadas (art. 48) e se a empresa mantinha um Programa de Governança em Privacidade (art. 50).</w:t>
      </w:r>
    </w:p>
    <w:p w14:paraId="4C32C3CD" w14:textId="77777777" w:rsidR="00EB4C6D" w:rsidRPr="00EB4C6D" w:rsidRDefault="00EB4C6D" w:rsidP="00EB4C6D">
      <w:r w:rsidRPr="00EB4C6D">
        <w:t>Na esfera sancionatória, as penalidades previstas no art. 52 incluem advertência com indicação de prazo para adoção de medidas corretivas, multa simples de até 2% do faturamento no Brasil no último exercício — limitada a R$ 50 milhões por infração —, multa diária, publicização da infração (que por si só gera enorme impacto reputacional), bloqueio ou eliminação dos dados pessoais a que se refere a infração, e suspensão parcial do banco de dados por até 6 meses, prorrogável por igual período.</w:t>
      </w:r>
    </w:p>
    <w:p w14:paraId="528E638B" w14:textId="77777777" w:rsidR="00EB4C6D" w:rsidRPr="00EB4C6D" w:rsidRDefault="00EB4C6D" w:rsidP="00EB4C6D">
      <w:r w:rsidRPr="00EB4C6D">
        <w:lastRenderedPageBreak/>
        <w:t>Além das sanções, a ANPD teria papel relevante em recomendar medidas técnicas e organizacionais, funcionando não apenas como órgão punitivo, mas como indutor de boas práticas para o setor varejista como um todo — que movimenta volumes massivos de dados pessoais e ainda apresenta, de modo geral, maturidade baixa em privacidade.</w:t>
      </w:r>
    </w:p>
    <w:p w14:paraId="6729C84B" w14:textId="77777777" w:rsidR="000474DB" w:rsidRDefault="000474DB"/>
    <w:sectPr w:rsidR="000474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6D"/>
    <w:rsid w:val="000474DB"/>
    <w:rsid w:val="004900F6"/>
    <w:rsid w:val="00AF21AC"/>
    <w:rsid w:val="00B1536D"/>
    <w:rsid w:val="00EB4C6D"/>
    <w:rsid w:val="00F153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B264"/>
  <w15:chartTrackingRefBased/>
  <w15:docId w15:val="{5C2091B4-7541-48FB-9CD4-5C0F8CB0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B4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B4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B4C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B4C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B4C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B4C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B4C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B4C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B4C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B4C6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B4C6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B4C6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B4C6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B4C6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B4C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B4C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B4C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B4C6D"/>
    <w:rPr>
      <w:rFonts w:eastAsiaTheme="majorEastAsia" w:cstheme="majorBidi"/>
      <w:color w:val="272727" w:themeColor="text1" w:themeTint="D8"/>
    </w:rPr>
  </w:style>
  <w:style w:type="paragraph" w:styleId="Ttulo">
    <w:name w:val="Title"/>
    <w:basedOn w:val="Normal"/>
    <w:next w:val="Normal"/>
    <w:link w:val="TtuloChar"/>
    <w:uiPriority w:val="10"/>
    <w:qFormat/>
    <w:rsid w:val="00EB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B4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B4C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B4C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B4C6D"/>
    <w:pPr>
      <w:spacing w:before="160"/>
      <w:jc w:val="center"/>
    </w:pPr>
    <w:rPr>
      <w:i/>
      <w:iCs/>
      <w:color w:val="404040" w:themeColor="text1" w:themeTint="BF"/>
    </w:rPr>
  </w:style>
  <w:style w:type="character" w:customStyle="1" w:styleId="CitaoChar">
    <w:name w:val="Citação Char"/>
    <w:basedOn w:val="Fontepargpadro"/>
    <w:link w:val="Citao"/>
    <w:uiPriority w:val="29"/>
    <w:rsid w:val="00EB4C6D"/>
    <w:rPr>
      <w:i/>
      <w:iCs/>
      <w:color w:val="404040" w:themeColor="text1" w:themeTint="BF"/>
    </w:rPr>
  </w:style>
  <w:style w:type="paragraph" w:styleId="PargrafodaLista">
    <w:name w:val="List Paragraph"/>
    <w:basedOn w:val="Normal"/>
    <w:uiPriority w:val="34"/>
    <w:qFormat/>
    <w:rsid w:val="00EB4C6D"/>
    <w:pPr>
      <w:ind w:left="720"/>
      <w:contextualSpacing/>
    </w:pPr>
  </w:style>
  <w:style w:type="character" w:styleId="nfaseIntensa">
    <w:name w:val="Intense Emphasis"/>
    <w:basedOn w:val="Fontepargpadro"/>
    <w:uiPriority w:val="21"/>
    <w:qFormat/>
    <w:rsid w:val="00EB4C6D"/>
    <w:rPr>
      <w:i/>
      <w:iCs/>
      <w:color w:val="0F4761" w:themeColor="accent1" w:themeShade="BF"/>
    </w:rPr>
  </w:style>
  <w:style w:type="paragraph" w:styleId="CitaoIntensa">
    <w:name w:val="Intense Quote"/>
    <w:basedOn w:val="Normal"/>
    <w:next w:val="Normal"/>
    <w:link w:val="CitaoIntensaChar"/>
    <w:uiPriority w:val="30"/>
    <w:qFormat/>
    <w:rsid w:val="00EB4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B4C6D"/>
    <w:rPr>
      <w:i/>
      <w:iCs/>
      <w:color w:val="0F4761" w:themeColor="accent1" w:themeShade="BF"/>
    </w:rPr>
  </w:style>
  <w:style w:type="character" w:styleId="RefernciaIntensa">
    <w:name w:val="Intense Reference"/>
    <w:basedOn w:val="Fontepargpadro"/>
    <w:uiPriority w:val="32"/>
    <w:qFormat/>
    <w:rsid w:val="00EB4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934</Words>
  <Characters>5044</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BOOS DUARTE .</dc:creator>
  <cp:keywords/>
  <dc:description/>
  <cp:lastModifiedBy>GABRIEL BOOS DUARTE .</cp:lastModifiedBy>
  <cp:revision>2</cp:revision>
  <dcterms:created xsi:type="dcterms:W3CDTF">2026-04-13T14:03:00Z</dcterms:created>
  <dcterms:modified xsi:type="dcterms:W3CDTF">2026-04-13T14:06:00Z</dcterms:modified>
</cp:coreProperties>
</file>