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RotaXP | Escopo do Projeto</w:t>
      </w:r>
    </w:p>
    <w:p>
      <w:pPr>
        <w:pStyle w:val="Subtitle"/>
      </w:pPr>
      <w:r>
        <w:t>Hackathon “O Assessor de Investimentos do Futuro”  •  Documento de divisão por 6 responsáveis</w:t>
      </w:r>
    </w:p>
    <w:p>
      <w:r>
        <w:t>Versão 1.0 • 10/10/2026 • Status: planejamento para validação da equipe</w:t>
      </w:r>
    </w:p>
    <w:p>
      <w:pPr>
        <w:pStyle w:val="Heading1"/>
      </w:pPr>
      <w:r>
        <w:t>1. Objetivo e premissas</w:t>
      </w:r>
    </w:p>
    <w:p>
      <w:r>
        <w:t>Construir um MVP demonstrável de plataforma financeira com dois perfis (assessor e cliente), apoiando a leitura do mercado, o entendimento da carteira, o relacionamento e a visualização de cenários. O documento consolida as decisões discutidas até a especificação do Dashboard v1.9 e propõe a distribuição do trabalho entre seis integrantes. Os módulos além do Dashboard ainda carecem de detalhamento funcional; os recortes abaixo são propostas de MVP, não requisitos já aprovados.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Restrição</w:t>
            </w:r>
          </w:p>
        </w:tc>
        <w:tc>
          <w:tcPr>
            <w:tcW w:type="dxa" w:w="4997"/>
            <w:vAlign w:val="center"/>
          </w:tcPr>
          <w:p>
            <w:r>
              <w:t>Regra de planejamento</w:t>
            </w:r>
          </w:p>
        </w:tc>
      </w:tr>
      <w:tr>
        <w:tc>
          <w:tcPr>
            <w:tcW w:type="dxa" w:w="4997"/>
            <w:vAlign w:val="center"/>
          </w:tcPr>
          <w:p>
            <w:r>
              <w:t>Equipe</w:t>
            </w:r>
          </w:p>
        </w:tc>
        <w:tc>
          <w:tcPr>
            <w:tcW w:type="dxa" w:w="4997"/>
            <w:vAlign w:val="center"/>
          </w:tcPr>
          <w:p>
            <w:r>
              <w:t>6 participantes; cada um lidera 1 módulo e responde pela integração dele</w:t>
            </w:r>
          </w:p>
        </w:tc>
      </w:tr>
      <w:tr>
        <w:tc>
          <w:tcPr>
            <w:tcW w:type="dxa" w:w="4997"/>
            <w:vAlign w:val="center"/>
          </w:tcPr>
          <w:p>
            <w:r>
              <w:t>Hackathon</w:t>
            </w:r>
          </w:p>
        </w:tc>
        <w:tc>
          <w:tcPr>
            <w:tcW w:type="dxa" w:w="4997"/>
            <w:vAlign w:val="center"/>
          </w:tcPr>
          <w:p>
            <w:r>
              <w:t>08h–18h; código desenvolvido durante o evento</w:t>
            </w:r>
          </w:p>
        </w:tc>
      </w:tr>
      <w:tr>
        <w:tc>
          <w:tcPr>
            <w:tcW w:type="dxa" w:w="4997"/>
            <w:vAlign w:val="center"/>
          </w:tcPr>
          <w:p>
            <w:r>
              <w:t>Repositório</w:t>
            </w:r>
          </w:p>
        </w:tc>
        <w:tc>
          <w:tcPr>
            <w:tcW w:type="dxa" w:w="4997"/>
            <w:vAlign w:val="center"/>
          </w:tcPr>
          <w:p>
            <w:r>
              <w:t>Pronto para clonagem às 17h30</w:t>
            </w:r>
          </w:p>
        </w:tc>
      </w:tr>
      <w:tr>
        <w:tc>
          <w:tcPr>
            <w:tcW w:type="dxa" w:w="4997"/>
            <w:vAlign w:val="center"/>
          </w:tcPr>
          <w:p>
            <w:r>
              <w:t>Pitch</w:t>
            </w:r>
          </w:p>
        </w:tc>
        <w:tc>
          <w:tcPr>
            <w:tcW w:type="dxa" w:w="4997"/>
            <w:vAlign w:val="center"/>
          </w:tcPr>
          <w:p>
            <w:r>
              <w:t>Até 5 minutos, com aplicação funcionando</w:t>
            </w:r>
          </w:p>
        </w:tc>
      </w:tr>
      <w:tr>
        <w:tc>
          <w:tcPr>
            <w:tcW w:type="dxa" w:w="4997"/>
            <w:vAlign w:val="center"/>
          </w:tcPr>
          <w:p>
            <w:r>
              <w:t>Stack aprovada</w:t>
            </w:r>
          </w:p>
        </w:tc>
        <w:tc>
          <w:tcPr>
            <w:tcW w:type="dxa" w:w="4997"/>
            <w:vAlign w:val="center"/>
          </w:tcPr>
          <w:p>
            <w:r>
              <w:t>Next.js + TypeScript, backend integrado; Supabase PostgreSQL + Auth</w:t>
            </w:r>
          </w:p>
        </w:tc>
      </w:tr>
      <w:tr>
        <w:tc>
          <w:tcPr>
            <w:tcW w:type="dxa" w:w="4997"/>
            <w:vAlign w:val="center"/>
          </w:tcPr>
          <w:p>
            <w:r>
              <w:t>IA</w:t>
            </w:r>
          </w:p>
        </w:tc>
        <w:tc>
          <w:tcPr>
            <w:tcW w:type="dxa" w:w="4997"/>
            <w:vAlign w:val="center"/>
          </w:tcPr>
          <w:p>
            <w:r>
              <w:t>API da OpenAI como candidata preferencial, não provedor definitivamente contratado</w:t>
            </w:r>
          </w:p>
        </w:tc>
      </w:tr>
    </w:tbl>
    <w:p>
      <w:pPr>
        <w:pStyle w:val="Heading1"/>
      </w:pPr>
      <w:r>
        <w:t>2. Escopo funcional e distribuição de módulos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Dono</w:t>
            </w:r>
          </w:p>
        </w:tc>
        <w:tc>
          <w:tcPr>
            <w:tcW w:type="dxa" w:w="3331"/>
            <w:vAlign w:val="center"/>
          </w:tcPr>
          <w:p>
            <w:r>
              <w:t>Módulo independente</w:t>
            </w:r>
          </w:p>
        </w:tc>
        <w:tc>
          <w:tcPr>
            <w:tcW w:type="dxa" w:w="3331"/>
            <w:vAlign w:val="center"/>
          </w:tcPr>
          <w:p>
            <w:r>
              <w:t>Resultado demonstrável</w:t>
            </w:r>
          </w:p>
        </w:tc>
      </w:tr>
      <w:tr>
        <w:tc>
          <w:tcPr>
            <w:tcW w:type="dxa" w:w="3331"/>
            <w:vAlign w:val="center"/>
          </w:tcPr>
          <w:p>
            <w:r>
              <w:t>M1</w:t>
            </w:r>
          </w:p>
        </w:tc>
        <w:tc>
          <w:tcPr>
            <w:tcW w:type="dxa" w:w="3331"/>
            <w:vAlign w:val="center"/>
          </w:tcPr>
          <w:p>
            <w:r>
              <w:t>Fundação, login e permissões</w:t>
            </w:r>
          </w:p>
        </w:tc>
        <w:tc>
          <w:tcPr>
            <w:tcW w:type="dxa" w:w="3331"/>
            <w:vAlign w:val="center"/>
          </w:tcPr>
          <w:p>
            <w:r>
              <w:t>Entrar como assessor ou cliente; rotas protegidas; navegação entre áreas</w:t>
            </w:r>
          </w:p>
        </w:tc>
      </w:tr>
      <w:tr>
        <w:tc>
          <w:tcPr>
            <w:tcW w:type="dxa" w:w="3331"/>
            <w:vAlign w:val="center"/>
          </w:tcPr>
          <w:p>
            <w:r>
              <w:t>M2</w:t>
            </w:r>
          </w:p>
        </w:tc>
        <w:tc>
          <w:tcPr>
            <w:tcW w:type="dxa" w:w="3331"/>
            <w:vAlign w:val="center"/>
          </w:tcPr>
          <w:p>
            <w:r>
              <w:t>Dashboard do assessor — mercado e rankings</w:t>
            </w:r>
          </w:p>
        </w:tc>
        <w:tc>
          <w:tcPr>
            <w:tcW w:type="dxa" w:w="3331"/>
            <w:vAlign w:val="center"/>
          </w:tcPr>
          <w:p>
            <w:r>
              <w:t>Panorama Brasil/Internacional, filtros e rankings ou renda fixa; estados real/simulado</w:t>
            </w:r>
          </w:p>
        </w:tc>
      </w:tr>
      <w:tr>
        <w:tc>
          <w:tcPr>
            <w:tcW w:type="dxa" w:w="3331"/>
            <w:vAlign w:val="center"/>
          </w:tcPr>
          <w:p>
            <w:r>
              <w:t>M3</w:t>
            </w:r>
          </w:p>
        </w:tc>
        <w:tc>
          <w:tcPr>
            <w:tcW w:type="dxa" w:w="3331"/>
            <w:vAlign w:val="center"/>
          </w:tcPr>
          <w:p>
            <w:r>
              <w:t>Clientes e perfil patrimonial</w:t>
            </w:r>
          </w:p>
        </w:tc>
        <w:tc>
          <w:tcPr>
            <w:tcW w:type="dxa" w:w="3331"/>
            <w:vAlign w:val="center"/>
          </w:tcPr>
          <w:p>
            <w:r>
              <w:t>Assessor vê clientes vinculados e perfil individual; cliente acessa o próprio perfil</w:t>
            </w:r>
          </w:p>
        </w:tc>
      </w:tr>
      <w:tr>
        <w:tc>
          <w:tcPr>
            <w:tcW w:type="dxa" w:w="3331"/>
            <w:vAlign w:val="center"/>
          </w:tcPr>
          <w:p>
            <w:r>
              <w:t>M4</w:t>
            </w:r>
          </w:p>
        </w:tc>
        <w:tc>
          <w:tcPr>
            <w:tcW w:type="dxa" w:w="3331"/>
            <w:vAlign w:val="center"/>
          </w:tcPr>
          <w:p>
            <w:r>
              <w:t>Investimentos e cenários do cliente</w:t>
            </w:r>
          </w:p>
        </w:tc>
        <w:tc>
          <w:tcPr>
            <w:tcW w:type="dxa" w:w="3331"/>
            <w:vAlign w:val="center"/>
          </w:tcPr>
          <w:p>
            <w:r>
              <w:t>Investimentos atuais e possibilidades de simulação claramente hipotéticas</w:t>
            </w:r>
          </w:p>
        </w:tc>
      </w:tr>
      <w:tr>
        <w:tc>
          <w:tcPr>
            <w:tcW w:type="dxa" w:w="3331"/>
            <w:vAlign w:val="center"/>
          </w:tcPr>
          <w:p>
            <w:r>
              <w:t>M5</w:t>
            </w:r>
          </w:p>
        </w:tc>
        <w:tc>
          <w:tcPr>
            <w:tcW w:type="dxa" w:w="3331"/>
            <w:vAlign w:val="center"/>
          </w:tcPr>
          <w:p>
            <w:r>
              <w:t>Notícias e IA</w:t>
            </w:r>
          </w:p>
        </w:tc>
        <w:tc>
          <w:tcPr>
            <w:tcW w:type="dxa" w:w="3331"/>
            <w:vAlign w:val="center"/>
          </w:tcPr>
          <w:p>
            <w:r>
              <w:t>Três notícias selecionadas e resumos simples com fonte; fallback sem alucinações</w:t>
            </w:r>
          </w:p>
        </w:tc>
      </w:tr>
      <w:tr>
        <w:tc>
          <w:tcPr>
            <w:tcW w:type="dxa" w:w="3331"/>
            <w:vAlign w:val="center"/>
          </w:tcPr>
          <w:p>
            <w:r>
              <w:t>M6</w:t>
            </w:r>
          </w:p>
        </w:tc>
        <w:tc>
          <w:tcPr>
            <w:tcW w:type="dxa" w:w="3331"/>
            <w:vAlign w:val="center"/>
          </w:tcPr>
          <w:p>
            <w:r>
              <w:t>Calendário, integração, QA e entrega</w:t>
            </w:r>
          </w:p>
        </w:tc>
        <w:tc>
          <w:tcPr>
            <w:tcW w:type="dxa" w:w="3331"/>
            <w:vAlign w:val="center"/>
          </w:tcPr>
          <w:p>
            <w:r>
              <w:t>Calendário mínimo, smoke tests, deploy, README e roteiro de demonstração</w:t>
            </w:r>
          </w:p>
        </w:tc>
      </w:tr>
    </w:tbl>
    <w:p>
      <w:r>
        <w:t>Responsáveis = papéis numerados, não atribuição nominal. A liderança por módulo não elimina revisão cruzada nem apoio entre integrantes.</w:t>
      </w:r>
    </w:p>
    <w:p>
      <w:pPr>
        <w:pStyle w:val="Heading1"/>
      </w:pPr>
      <w:r>
        <w:t>3. Escopo por módulo — entregáveis e limites</w:t>
      </w:r>
    </w:p>
    <w:p>
      <w:pPr>
        <w:pStyle w:val="Heading2"/>
      </w:pPr>
      <w:r>
        <w:t>M1 — Fundação, login e permissões</w:t>
      </w:r>
    </w:p>
    <w:p>
      <w:r>
        <w:t>Responsável: Pessoa 1 — plataforma / autenticação</w:t>
      </w:r>
    </w:p>
    <w:p>
      <w:pPr>
        <w:pStyle w:val="ListBullet"/>
      </w:pPr>
      <w:r>
        <w:t>Configurar Next.js/TypeScript, convenções, layout base e menus por perfil.</w:t>
      </w:r>
    </w:p>
    <w:p>
      <w:pPr>
        <w:pStyle w:val="ListBullet"/>
      </w:pPr>
      <w:r>
        <w:t>Integrar Supabase Auth, perfis ASSESSOR e CLIENTE e proteção server-side de rotas/APIs.</w:t>
      </w:r>
    </w:p>
    <w:p>
      <w:pPr>
        <w:pStyle w:val="ListBullet"/>
      </w:pPr>
      <w:r>
        <w:t>Fornecer ambiente de desenvolvimento, .env.example e fixtures de usuários fictícios.</w:t>
      </w:r>
    </w:p>
    <w:p>
      <w:r>
        <w:t>Aceite mínimo: Login demonstrável com redirecionamento correto; cliente não acessa endpoint restrito ao assessor (403); logout funcional.</w:t>
      </w:r>
    </w:p>
    <w:p>
      <w:r>
        <w:t>Dependências / não assumir: Não implementar permissões por cliente sem definição de vínculo e sem teste de segregação. A UI não é mecanismo de autorização.</w:t>
      </w:r>
    </w:p>
    <w:p>
      <w:pPr>
        <w:pStyle w:val="Heading2"/>
      </w:pPr>
      <w:r>
        <w:t>M2 — Dashboard do assessor: mercado e rankings</w:t>
      </w:r>
    </w:p>
    <w:p>
      <w:r>
        <w:t>Responsável: Pessoa 2 — dados de mercado / frontend</w:t>
      </w:r>
    </w:p>
    <w:p>
      <w:pPr>
        <w:pStyle w:val="ListBullet"/>
      </w:pPr>
      <w:r>
        <w:t>Panorama brasileiro e internacional; seletores de região BR/Internacional e período 1D/7D/30D.</w:t>
      </w:r>
    </w:p>
    <w:p>
      <w:pPr>
        <w:pStyle w:val="ListBullet"/>
      </w:pPr>
      <w:r>
        <w:t>Rankings até 10 altas e 10 baixas entre ativos elegíveis de ações, FIIs/REITs, ETFs e cripto; preços na moeda original e variações na moeda de cotação.</w:t>
      </w:r>
    </w:p>
    <w:p>
      <w:pPr>
        <w:pStyle w:val="ListBullet"/>
      </w:pPr>
      <w:r>
        <w:t>Painel específico de renda fixa para títulos públicos brasileiros e referências soberanas internacionais; sem ranking genérico.</w:t>
      </w:r>
    </w:p>
    <w:p>
      <w:pPr>
        <w:pStyle w:val="ListBullet"/>
      </w:pPr>
      <w:r>
        <w:t>Integrar GET /api/dashboard/overview, GET /rankings e GET /fixed-income com adaptadores e fallback.</w:t>
      </w:r>
    </w:p>
    <w:p>
      <w:r>
        <w:t>Aceite mínimo: Filtros alteram resultados; posições ordenadas; origem, data, metodologia e cobertura parcial visíveis; falha de API não derruba a tela.</w:t>
      </w:r>
    </w:p>
    <w:p>
      <w:r>
        <w:t>Dependências / não assumir: PoC brapi ainda NÃO executada; todas as fontes são candidatas. Limiares de liquidez, universo elegível, preços ajustados, períodos e indicadores gerais ainda pendentes.</w:t>
      </w:r>
    </w:p>
    <w:p>
      <w:pPr>
        <w:pStyle w:val="Heading2"/>
      </w:pPr>
      <w:r>
        <w:t>M3 — Clientes e perfil patrimonial</w:t>
      </w:r>
    </w:p>
    <w:p>
      <w:r>
        <w:t>Responsável: Pessoa 3 — CRM / perfil</w:t>
      </w:r>
    </w:p>
    <w:p>
      <w:pPr>
        <w:pStyle w:val="ListBullet"/>
      </w:pPr>
      <w:r>
        <w:t>Criar lista mínima de clientes vinculados ao assessor, com acesso ao detalhe individual.</w:t>
      </w:r>
    </w:p>
    <w:p>
      <w:pPr>
        <w:pStyle w:val="ListBullet"/>
      </w:pPr>
      <w:r>
        <w:t>Criar tela de perfil do cliente, reutilizada de modo seguro no ambiente cliente.</w:t>
      </w:r>
    </w:p>
    <w:p>
      <w:pPr>
        <w:pStyle w:val="ListBullet"/>
      </w:pPr>
      <w:r>
        <w:t>Prever campos pessoais e patrimoniais apenas após definição; usar fixtures fictícias no MVP.</w:t>
      </w:r>
    </w:p>
    <w:p>
      <w:r>
        <w:t>Aceite mínimo: Assessor abre apenas clientes vinculados; cliente vê somente seu perfil; estados vazio/erro e responsividade.</w:t>
      </w:r>
    </w:p>
    <w:p>
      <w:r>
        <w:t>Dependências / não assumir: Campos de patrimônio, cadastro, vinculação assessor-cliente e edição ainda NÃO especificados. Não coletar dados pessoais reais para a demo.</w:t>
      </w:r>
    </w:p>
    <w:p>
      <w:pPr>
        <w:pStyle w:val="Heading2"/>
      </w:pPr>
      <w:r>
        <w:t>M4 — Investimentos atuais e possibilidades</w:t>
      </w:r>
    </w:p>
    <w:p>
      <w:r>
        <w:t>Responsável: Pessoa 4 — carteiras / simulação</w:t>
      </w:r>
    </w:p>
    <w:p>
      <w:pPr>
        <w:pStyle w:val="ListBullet"/>
      </w:pPr>
      <w:r>
        <w:t>Implementar visão demonstrativa dos investimentos atuais do cliente, com saldo e composição a partir de dados fictícios identificados.</w:t>
      </w:r>
    </w:p>
    <w:p>
      <w:pPr>
        <w:pStyle w:val="ListBullet"/>
      </w:pPr>
      <w:r>
        <w:t>Implementar tela de possíveis investimentos com um cenário simples, separado de valores reais e sem promessas de retorno.</w:t>
      </w:r>
    </w:p>
    <w:p>
      <w:pPr>
        <w:pStyle w:val="ListBullet"/>
      </w:pPr>
      <w:r>
        <w:t>Definir contrato compartilhado com M3 para cliente/carteira e com M2 para ativos, sem acoplamento ao provedor externo.</w:t>
      </w:r>
    </w:p>
    <w:p>
      <w:r>
        <w:t>Aceite mínimo: Investimentos atuais e cenário hipotético são distinguidos; cálculos são reproduzíveis; acesso restrito ao cliente correspondente.</w:t>
      </w:r>
    </w:p>
    <w:p>
      <w:r>
        <w:t>Dependências / não assumir: Método de simulação, premissas financeiras, tipos de investimento e campos definitivos dependem de validação. Nada deve ser apresentado como recomendação personalizada.</w:t>
      </w:r>
    </w:p>
    <w:p>
      <w:pPr>
        <w:pStyle w:val="Heading2"/>
      </w:pPr>
      <w:r>
        <w:t>M5 — Notícias, IA e fonte</w:t>
      </w:r>
    </w:p>
    <w:p>
      <w:r>
        <w:t>Responsável: Pessoa 5 — notícias / IA</w:t>
      </w:r>
    </w:p>
    <w:p>
      <w:pPr>
        <w:pStyle w:val="ListBullet"/>
      </w:pPr>
      <w:r>
        <w:t>Consultar provedor de notícias ainda a definir; selecionar até três por recência + relevância e eliminar duplicações.</w:t>
      </w:r>
    </w:p>
    <w:p>
      <w:pPr>
        <w:pStyle w:val="ListBullet"/>
      </w:pPr>
      <w:r>
        <w:t>Produzir resumos em pt-BR por IA com fonte, link, publicação e rótulo de geração; fallback seguro quando IA falhar.</w:t>
      </w:r>
    </w:p>
    <w:p>
      <w:pPr>
        <w:pStyle w:val="ListBullet"/>
      </w:pPr>
      <w:r>
        <w:t>Implementar GET /api/dashboard/news e cache de resumos por artigo/versão.</w:t>
      </w:r>
    </w:p>
    <w:p>
      <w:r>
        <w:t>Aceite mínimo: Até três notícias distintas; fonte verificável; resumo fiel à informação recebida; links corretos; falha da IA não inventa texto.</w:t>
      </w:r>
    </w:p>
    <w:p>
      <w:r>
        <w:t>Dependências / não assumir: Fonte de notícias, direitos de resumo, modelo OpenAI, custos e ponderação de relevância estão pendentes; texto incompleto não autoriza inferir fatos.</w:t>
      </w:r>
    </w:p>
    <w:p>
      <w:pPr>
        <w:pStyle w:val="Heading2"/>
      </w:pPr>
      <w:r>
        <w:t>M6 — Calendário, QA, integração e entrega</w:t>
      </w:r>
    </w:p>
    <w:p>
      <w:r>
        <w:t>Responsável: Pessoa 6 — calendário / qualidade / release</w:t>
      </w:r>
    </w:p>
    <w:p>
      <w:pPr>
        <w:pStyle w:val="ListBullet"/>
      </w:pPr>
      <w:r>
        <w:t>Criar experiência mínima de calendário para cada perfil com compromissos fictícios e visualização por usuário.</w:t>
      </w:r>
    </w:p>
    <w:p>
      <w:pPr>
        <w:pStyle w:val="ListBullet"/>
      </w:pPr>
      <w:r>
        <w:t>Organizar smoke tests de login, permissões, rankings, notícias, cache e falhas; integrar módulos nas rotas finais.</w:t>
      </w:r>
    </w:p>
    <w:p>
      <w:pPr>
        <w:pStyle w:val="ListBullet"/>
      </w:pPr>
      <w:r>
        <w:t>Validar build, deploy quando viável, README, credenciais demo, roteiro de pitch e congelamento antes de 17h30.</w:t>
      </w:r>
    </w:p>
    <w:p>
      <w:r>
        <w:t>Aceite mínimo: Calendário demonstrável; build e navegação sem erros bloqueantes; roteiro de 5 min executável; repositório íntegro.</w:t>
      </w:r>
    </w:p>
    <w:p>
      <w:r>
        <w:t>Dependências / não assumir: Compartilhamento de compromissos, criação/edição, notificações e sincronização externa NÃO aprovados. Escopo do calendário deve permanecer mínimo até validação.</w:t>
      </w:r>
    </w:p>
    <w:p>
      <w:pPr>
        <w:pStyle w:val="Heading1"/>
      </w:pPr>
      <w:r>
        <w:t>4. Contratos de integração e fronteiras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Interface</w:t>
            </w:r>
          </w:p>
        </w:tc>
        <w:tc>
          <w:tcPr>
            <w:tcW w:type="dxa" w:w="3331"/>
            <w:vAlign w:val="center"/>
          </w:tcPr>
          <w:p>
            <w:r>
              <w:t>Produtor → consumidor</w:t>
            </w:r>
          </w:p>
        </w:tc>
        <w:tc>
          <w:tcPr>
            <w:tcW w:type="dxa" w:w="3331"/>
            <w:vAlign w:val="center"/>
          </w:tcPr>
          <w:p>
            <w:r>
              <w:t>Status</w:t>
            </w:r>
          </w:p>
        </w:tc>
      </w:tr>
      <w:tr>
        <w:tc>
          <w:tcPr>
            <w:tcW w:type="dxa" w:w="3331"/>
            <w:vAlign w:val="center"/>
          </w:tcPr>
          <w:p>
            <w:r>
              <w:t>Supabase Auth e perfil</w:t>
            </w:r>
          </w:p>
        </w:tc>
        <w:tc>
          <w:tcPr>
            <w:tcW w:type="dxa" w:w="3331"/>
            <w:vAlign w:val="center"/>
          </w:tcPr>
          <w:p>
            <w:r>
              <w:t>M1 → M2/M3/M4/M5/M6</w:t>
            </w:r>
          </w:p>
        </w:tc>
        <w:tc>
          <w:tcPr>
            <w:tcW w:type="dxa" w:w="3331"/>
            <w:vAlign w:val="center"/>
          </w:tcPr>
          <w:p>
            <w:r>
              <w:t>Tecnologia aprovada; autorização detalhada pendente</w:t>
            </w:r>
          </w:p>
        </w:tc>
      </w:tr>
      <w:tr>
        <w:tc>
          <w:tcPr>
            <w:tcW w:type="dxa" w:w="3331"/>
            <w:vAlign w:val="center"/>
          </w:tcPr>
          <w:p>
            <w:r>
              <w:t>GET /api/dashboard/overview</w:t>
            </w:r>
          </w:p>
        </w:tc>
        <w:tc>
          <w:tcPr>
            <w:tcW w:type="dxa" w:w="3331"/>
            <w:vAlign w:val="center"/>
          </w:tcPr>
          <w:p>
            <w:r>
              <w:t>M2 → interface de assessor</w:t>
            </w:r>
          </w:p>
        </w:tc>
        <w:tc>
          <w:tcPr>
            <w:tcW w:type="dxa" w:w="3331"/>
            <w:vAlign w:val="center"/>
          </w:tcPr>
          <w:p>
            <w:r>
              <w:t>Contrato proposto v1.6</w:t>
            </w:r>
          </w:p>
        </w:tc>
      </w:tr>
      <w:tr>
        <w:tc>
          <w:tcPr>
            <w:tcW w:type="dxa" w:w="3331"/>
            <w:vAlign w:val="center"/>
          </w:tcPr>
          <w:p>
            <w:r>
              <w:t>GET /api/dashboard/rankings</w:t>
            </w:r>
          </w:p>
        </w:tc>
        <w:tc>
          <w:tcPr>
            <w:tcW w:type="dxa" w:w="3331"/>
            <w:vAlign w:val="center"/>
          </w:tcPr>
          <w:p>
            <w:r>
              <w:t>M2 → interface de assessor</w:t>
            </w:r>
          </w:p>
        </w:tc>
        <w:tc>
          <w:tcPr>
            <w:tcW w:type="dxa" w:w="3331"/>
            <w:vAlign w:val="center"/>
          </w:tcPr>
          <w:p>
            <w:r>
              <w:t>Contrato proposto, exclui FIXED_INCOME</w:t>
            </w:r>
          </w:p>
        </w:tc>
      </w:tr>
      <w:tr>
        <w:tc>
          <w:tcPr>
            <w:tcW w:type="dxa" w:w="3331"/>
            <w:vAlign w:val="center"/>
          </w:tcPr>
          <w:p>
            <w:r>
              <w:t>GET /api/dashboard/fixed-income</w:t>
            </w:r>
          </w:p>
        </w:tc>
        <w:tc>
          <w:tcPr>
            <w:tcW w:type="dxa" w:w="3331"/>
            <w:vAlign w:val="center"/>
          </w:tcPr>
          <w:p>
            <w:r>
              <w:t>M2 → interface de assessor</w:t>
            </w:r>
          </w:p>
        </w:tc>
        <w:tc>
          <w:tcPr>
            <w:tcW w:type="dxa" w:w="3331"/>
            <w:vAlign w:val="center"/>
          </w:tcPr>
          <w:p>
            <w:r>
              <w:t>Contrato proposto v1.7</w:t>
            </w:r>
          </w:p>
        </w:tc>
      </w:tr>
      <w:tr>
        <w:tc>
          <w:tcPr>
            <w:tcW w:type="dxa" w:w="3331"/>
            <w:vAlign w:val="center"/>
          </w:tcPr>
          <w:p>
            <w:r>
              <w:t>GET /api/dashboard/news</w:t>
            </w:r>
          </w:p>
        </w:tc>
        <w:tc>
          <w:tcPr>
            <w:tcW w:type="dxa" w:w="3331"/>
            <w:vAlign w:val="center"/>
          </w:tcPr>
          <w:p>
            <w:r>
              <w:t>M5 → interface do Dashboard M2</w:t>
            </w:r>
          </w:p>
        </w:tc>
        <w:tc>
          <w:tcPr>
            <w:tcW w:type="dxa" w:w="3331"/>
            <w:vAlign w:val="center"/>
          </w:tcPr>
          <w:p>
            <w:r>
              <w:t>Contrato proposto</w:t>
            </w:r>
          </w:p>
        </w:tc>
      </w:tr>
      <w:tr>
        <w:tc>
          <w:tcPr>
            <w:tcW w:type="dxa" w:w="3331"/>
            <w:vAlign w:val="center"/>
          </w:tcPr>
          <w:p>
            <w:r>
              <w:t>POST /api/dashboard/refresh</w:t>
            </w:r>
          </w:p>
        </w:tc>
        <w:tc>
          <w:tcPr>
            <w:tcW w:type="dxa" w:w="3331"/>
            <w:vAlign w:val="center"/>
          </w:tcPr>
          <w:p>
            <w:r>
              <w:t>M2 com M5 → Dashboard</w:t>
            </w:r>
          </w:p>
        </w:tc>
        <w:tc>
          <w:tcPr>
            <w:tcW w:type="dxa" w:w="3331"/>
            <w:vAlign w:val="center"/>
          </w:tcPr>
          <w:p>
            <w:r>
              <w:t>Contrato proposto; cache e limites</w:t>
            </w:r>
          </w:p>
        </w:tc>
      </w:tr>
      <w:tr>
        <w:tc>
          <w:tcPr>
            <w:tcW w:type="dxa" w:w="3331"/>
            <w:vAlign w:val="center"/>
          </w:tcPr>
          <w:p>
            <w:r>
              <w:t>Cliente/Carteira</w:t>
            </w:r>
          </w:p>
        </w:tc>
        <w:tc>
          <w:tcPr>
            <w:tcW w:type="dxa" w:w="3331"/>
            <w:vAlign w:val="center"/>
          </w:tcPr>
          <w:p>
            <w:r>
              <w:t>M3 ↔ M4</w:t>
            </w:r>
          </w:p>
        </w:tc>
        <w:tc>
          <w:tcPr>
            <w:tcW w:type="dxa" w:w="3331"/>
            <w:vAlign w:val="center"/>
          </w:tcPr>
          <w:p>
            <w:r>
              <w:t>Contrato a definir antes da codificação</w:t>
            </w:r>
          </w:p>
        </w:tc>
      </w:tr>
      <w:tr>
        <w:tc>
          <w:tcPr>
            <w:tcW w:type="dxa" w:w="3331"/>
            <w:vAlign w:val="center"/>
          </w:tcPr>
          <w:p>
            <w:r>
              <w:t>Eventos do calendário</w:t>
            </w:r>
          </w:p>
        </w:tc>
        <w:tc>
          <w:tcPr>
            <w:tcW w:type="dxa" w:w="3331"/>
            <w:vAlign w:val="center"/>
          </w:tcPr>
          <w:p>
            <w:r>
              <w:t>M6 ↔ M1/M3</w:t>
            </w:r>
          </w:p>
        </w:tc>
        <w:tc>
          <w:tcPr>
            <w:tcW w:type="dxa" w:w="3331"/>
            <w:vAlign w:val="center"/>
          </w:tcPr>
          <w:p>
            <w:r>
              <w:t>Modelo a validar; sem compartilhamento implícito</w:t>
            </w:r>
          </w:p>
        </w:tc>
      </w:tr>
    </w:tbl>
    <w:p>
      <w:r>
        <w:t>Política transversal aprovada: cotações com cache inicial de 15 minutos; atualização no carregamento e via botão; prioridade de exibição: dado real atual → último real com data/alerta → simulado identificado → indisponível. Identificar origem por seção/ativo e preservar asOf (referência) distinto de fetchedAt (consulta).</w:t>
      </w:r>
    </w:p>
    <w:p>
      <w:pPr>
        <w:pStyle w:val="Heading1"/>
      </w:pPr>
      <w:r>
        <w:t>5. Prioridades do MVP: Must / Should / Could / Won’t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Prioridade</w:t>
            </w:r>
          </w:p>
        </w:tc>
        <w:tc>
          <w:tcPr>
            <w:tcW w:type="dxa" w:w="4997"/>
            <w:vAlign w:val="center"/>
          </w:tcPr>
          <w:p>
            <w:r>
              <w:t>Escopo</w:t>
            </w:r>
          </w:p>
        </w:tc>
      </w:tr>
      <w:tr>
        <w:tc>
          <w:tcPr>
            <w:tcW w:type="dxa" w:w="4997"/>
            <w:vAlign w:val="center"/>
          </w:tcPr>
          <w:p>
            <w:r>
              <w:t>Must</w:t>
            </w:r>
          </w:p>
        </w:tc>
        <w:tc>
          <w:tcPr>
            <w:tcW w:type="dxa" w:w="4997"/>
            <w:vAlign w:val="center"/>
          </w:tcPr>
          <w:p>
            <w:r>
              <w:t>Login por perfil e autorização; navegação; uma jornada ponta a ponta por assessor e cliente; Dashboard funcional com filtros e estados de dados; notícias com indicação de fonte; demo e repositório entregues.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Should</w:t>
            </w:r>
          </w:p>
        </w:tc>
        <w:tc>
          <w:tcPr>
            <w:tcW w:type="dxa" w:w="4997"/>
            <w:vAlign w:val="center"/>
          </w:tcPr>
          <w:p>
            <w:r>
              <w:t>Cobertura progressiva de todas as categorias e regiões; painel de renda fixa com dados permitidos; resumos de IA ao vivo; histórico e tratamento robusto de API.</w:t>
            </w:r>
          </w:p>
        </w:tc>
      </w:tr>
      <w:tr>
        <w:tc>
          <w:tcPr>
            <w:tcW w:type="dxa" w:w="4997"/>
            <w:vAlign w:val="center"/>
          </w:tcPr>
          <w:p>
            <w:r>
              <w:t>Could</w:t>
            </w:r>
          </w:p>
        </w:tc>
        <w:tc>
          <w:tcPr>
            <w:tcW w:type="dxa" w:w="4997"/>
            <w:vAlign w:val="center"/>
          </w:tcPr>
          <w:p>
            <w:r>
              <w:t>Gráficos ricos, preferências persistidas, calendário mais completo, mais detalhes de patrimônio, cenários adicionais.</w:t>
            </w:r>
          </w:p>
        </w:tc>
      </w:tr>
      <w:tr>
        <w:tc>
          <w:tcPr>
            <w:tcW w:type="dxa" w:w="4997"/>
            <w:vAlign w:val="center"/>
          </w:tcPr>
          <w:p>
            <w:r>
              <w:t>Won’t nesta versão</w:t>
            </w:r>
          </w:p>
        </w:tc>
        <w:tc>
          <w:tcPr>
            <w:tcW w:type="dxa" w:w="4997"/>
            <w:vAlign w:val="center"/>
          </w:tcPr>
          <w:p>
            <w:r>
              <w:t>Integração bancária real, execução de ordens, recomendações automatizadas personalizadas, alertas comerciais, microserviços, integrações de calendário externo e coleta de patrimônio real sem aprovação.</w:t>
            </w:r>
          </w:p>
        </w:tc>
      </w:tr>
    </w:tbl>
    <w:p>
      <w:r>
        <w:t>Nota: “Should” reflete faseamento da implementação, não cancela as categorias e funcionalidades aprovadas. Se APIs impedirem uma parte, demonstrar fallback simulado rotulado e comunicar claramente as limitações.</w:t>
      </w:r>
    </w:p>
    <w:p>
      <w:pPr>
        <w:pStyle w:val="Heading1"/>
      </w:pPr>
      <w:r>
        <w:t>6. Sequência de execução e marcos de integração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Janela</w:t>
            </w:r>
          </w:p>
        </w:tc>
        <w:tc>
          <w:tcPr>
            <w:tcW w:type="dxa" w:w="4997"/>
            <w:vAlign w:val="center"/>
          </w:tcPr>
          <w:p>
            <w:r>
              <w:t>Objetivo e porta de qualidade</w:t>
            </w:r>
          </w:p>
        </w:tc>
      </w:tr>
      <w:tr>
        <w:tc>
          <w:tcPr>
            <w:tcW w:type="dxa" w:w="4997"/>
            <w:vAlign w:val="center"/>
          </w:tcPr>
          <w:p>
            <w:r>
              <w:t>08h00–09h00</w:t>
            </w:r>
          </w:p>
        </w:tc>
        <w:tc>
          <w:tcPr>
            <w:tcW w:type="dxa" w:w="4997"/>
            <w:vAlign w:val="center"/>
          </w:tcPr>
          <w:p>
            <w:r>
              <w:t>M1 cria projeto, autenticação base e contratos/tipos; equipe confirma schemas, fixtures e branches.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09h00–11h30</w:t>
            </w:r>
          </w:p>
        </w:tc>
        <w:tc>
          <w:tcPr>
            <w:tcW w:type="dxa" w:w="4997"/>
            <w:vAlign w:val="center"/>
          </w:tcPr>
          <w:p>
            <w:r>
              <w:t>Cada dono implementa caminho mínimo independente; APIs externas são testadas sem bloquear interfaces mockadas.</w:t>
            </w:r>
          </w:p>
        </w:tc>
      </w:tr>
      <w:tr>
        <w:tc>
          <w:tcPr>
            <w:tcW w:type="dxa" w:w="4997"/>
            <w:vAlign w:val="center"/>
          </w:tcPr>
          <w:p>
            <w:r>
              <w:t>11h30</w:t>
            </w:r>
          </w:p>
        </w:tc>
        <w:tc>
          <w:tcPr>
            <w:tcW w:type="dxa" w:w="4997"/>
            <w:vAlign w:val="center"/>
          </w:tcPr>
          <w:p>
            <w:r>
              <w:t>Checkpoint 1: rotas funcionam, build sem erros, payloads integráveis.</w:t>
            </w:r>
          </w:p>
        </w:tc>
      </w:tr>
      <w:tr>
        <w:tc>
          <w:tcPr>
            <w:tcW w:type="dxa" w:w="4997"/>
            <w:vAlign w:val="center"/>
          </w:tcPr>
          <w:p>
            <w:r>
              <w:t>11h30–14h30</w:t>
            </w:r>
          </w:p>
        </w:tc>
        <w:tc>
          <w:tcPr>
            <w:tcW w:type="dxa" w:w="4997"/>
            <w:vAlign w:val="center"/>
          </w:tcPr>
          <w:p>
            <w:r>
              <w:t>Integrar serviços e componentes; reforçar permissões e cenários críticos; congelar mudanças de contrato sem acordo.</w:t>
            </w:r>
          </w:p>
        </w:tc>
      </w:tr>
      <w:tr>
        <w:tc>
          <w:tcPr>
            <w:tcW w:type="dxa" w:w="4997"/>
            <w:vAlign w:val="center"/>
          </w:tcPr>
          <w:p>
            <w:r>
              <w:t>14h30</w:t>
            </w:r>
          </w:p>
        </w:tc>
        <w:tc>
          <w:tcPr>
            <w:tcW w:type="dxa" w:w="4997"/>
            <w:vAlign w:val="center"/>
          </w:tcPr>
          <w:p>
            <w:r>
              <w:t>Checkpoint 2: jornada de demonstração inteira passa com dados reais ou simulação identificada.</w:t>
            </w:r>
          </w:p>
        </w:tc>
      </w:tr>
      <w:tr>
        <w:tc>
          <w:tcPr>
            <w:tcW w:type="dxa" w:w="4997"/>
            <w:vAlign w:val="center"/>
          </w:tcPr>
          <w:p>
            <w:r>
              <w:t>14h30–16h30</w:t>
            </w:r>
          </w:p>
        </w:tc>
        <w:tc>
          <w:tcPr>
            <w:tcW w:type="dxa" w:w="4997"/>
            <w:vAlign w:val="center"/>
          </w:tcPr>
          <w:p>
            <w:r>
              <w:t>Testes cruzados, UX, contingência e README/pitch; corrigir falhas bloqueantes.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16h30–17h30</w:t>
            </w:r>
          </w:p>
        </w:tc>
        <w:tc>
          <w:tcPr>
            <w:tcW w:type="dxa" w:w="4997"/>
            <w:vAlign w:val="center"/>
          </w:tcPr>
          <w:p>
            <w:r>
              <w:t>Congelamento de escopo, build final, evidências, repositório pronto para clonagem.</w:t>
            </w:r>
          </w:p>
        </w:tc>
      </w:tr>
      <w:tr>
        <w:tc>
          <w:tcPr>
            <w:tcW w:type="dxa" w:w="4997"/>
            <w:vAlign w:val="center"/>
          </w:tcPr>
          <w:p>
            <w:r>
              <w:t>17h30–18h00</w:t>
            </w:r>
          </w:p>
        </w:tc>
        <w:tc>
          <w:tcPr>
            <w:tcW w:type="dxa" w:w="4997"/>
            <w:vAlign w:val="center"/>
          </w:tcPr>
          <w:p>
            <w:r>
              <w:t>Demonstração e pitch de até cinco minutos.</w:t>
            </w:r>
          </w:p>
        </w:tc>
      </w:tr>
    </w:tbl>
    <w:p>
      <w:pPr>
        <w:pStyle w:val="Heading1"/>
      </w:pPr>
      <w:r>
        <w:t>7. Testes de aceite compartilhados</w:t>
      </w:r>
    </w:p>
    <w:p>
      <w:pPr>
        <w:pStyle w:val="ListBullet"/>
      </w:pPr>
      <w:r>
        <w:t>Sessão ausente recebe 401; cliente em rota de assessor recebe 403; cliente não lê dados de outro cliente.</w:t>
      </w:r>
    </w:p>
    <w:p>
      <w:pPr>
        <w:pStyle w:val="ListBullet"/>
      </w:pPr>
      <w:r>
        <w:t>Trocar região/categoria/período recalcula rankings válidos, exibe até 10 itens e sinaliza cobertura parcial.</w:t>
      </w:r>
    </w:p>
    <w:p>
      <w:pPr>
        <w:pStyle w:val="ListBullet"/>
      </w:pPr>
      <w:r>
        <w:t>Renda fixa usa taxas, preços e retornos com unidades e data, sem ranking genérico de alta/baixa.</w:t>
      </w:r>
    </w:p>
    <w:p>
      <w:pPr>
        <w:pStyle w:val="ListBullet"/>
      </w:pPr>
      <w:r>
        <w:t>Erro em uma API não quebra outras seções; fallback diferencia último real, simulado e indisponível.</w:t>
      </w:r>
    </w:p>
    <w:p>
      <w:pPr>
        <w:pStyle w:val="ListBullet"/>
      </w:pPr>
      <w:r>
        <w:t>Exibir até três notícias não duplicadas, com fonte/data/link e resumos sem fatos inventados.</w:t>
      </w:r>
    </w:p>
    <w:p>
      <w:pPr>
        <w:pStyle w:val="ListBullet"/>
      </w:pPr>
      <w:r>
        <w:t>Build de produção, navegação desktop/mobile, README e pitch testados antes das 17h30.</w:t>
      </w:r>
    </w:p>
    <w:p>
      <w:pPr>
        <w:pStyle w:val="Heading1"/>
      </w:pPr>
      <w:r>
        <w:t>8. Pendências e riscos de decisão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Pendência</w:t>
            </w:r>
          </w:p>
        </w:tc>
        <w:tc>
          <w:tcPr>
            <w:tcW w:type="dxa" w:w="4997"/>
            <w:vAlign w:val="center"/>
          </w:tcPr>
          <w:p>
            <w:r>
              <w:t>Dono proposto / ação</w:t>
            </w:r>
          </w:p>
        </w:tc>
      </w:tr>
      <w:tr>
        <w:tc>
          <w:tcPr>
            <w:tcW w:type="dxa" w:w="4997"/>
            <w:vAlign w:val="center"/>
          </w:tcPr>
          <w:p>
            <w:r>
              <w:t>APIs financeiras: acesso, licenças, cobertura e histórico</w:t>
            </w:r>
          </w:p>
        </w:tc>
        <w:tc>
          <w:tcPr>
            <w:tcW w:type="dxa" w:w="4997"/>
            <w:vAlign w:val="center"/>
          </w:tcPr>
          <w:p>
            <w:r>
              <w:t>M2: executar PoCs; brapi ainda não testada; registrar HTTP, schema, limitações.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Liquidez mínima e universo elegível; metodologia 1/7/30 dias</w:t>
            </w:r>
          </w:p>
        </w:tc>
        <w:tc>
          <w:tcPr>
            <w:tcW w:type="dxa" w:w="4997"/>
            <w:vAlign w:val="center"/>
          </w:tcPr>
          <w:p>
            <w:r>
              <w:t>M2: apresentar definição com amostra verificável antes do ranking definitivo.</w:t>
            </w:r>
          </w:p>
        </w:tc>
      </w:tr>
      <w:tr>
        <w:tc>
          <w:tcPr>
            <w:tcW w:type="dxa" w:w="4997"/>
            <w:vAlign w:val="center"/>
          </w:tcPr>
          <w:p>
            <w:r>
              <w:t>Títulos/países/práticos da renda fixa; métricas e preços</w:t>
            </w:r>
          </w:p>
        </w:tc>
        <w:tc>
          <w:tcPr>
            <w:tcW w:type="dxa" w:w="4997"/>
            <w:vAlign w:val="center"/>
          </w:tcPr>
          <w:p>
            <w:r>
              <w:t>M2: validar instrumentos e cobertura ANBIMA/FRED.</w:t>
            </w:r>
          </w:p>
        </w:tc>
      </w:tr>
      <w:tr>
        <w:tc>
          <w:tcPr>
            <w:tcW w:type="dxa" w:w="4997"/>
            <w:vAlign w:val="center"/>
          </w:tcPr>
          <w:p>
            <w:r>
              <w:t>Fonte, relevância e custo de notícias/IA</w:t>
            </w:r>
          </w:p>
        </w:tc>
        <w:tc>
          <w:tcPr>
            <w:tcW w:type="dxa" w:w="4997"/>
            <w:vAlign w:val="center"/>
          </w:tcPr>
          <w:p>
            <w:r>
              <w:t>M5: escolher fonte e demonstrar resumo seguro.</w:t>
            </w:r>
          </w:p>
        </w:tc>
      </w:tr>
      <w:tr>
        <w:tc>
          <w:tcPr>
            <w:tcW w:type="dxa" w:w="4997"/>
            <w:vAlign w:val="center"/>
          </w:tcPr>
          <w:p>
            <w:r>
              <w:t>Campos, vínculo e permissões de cliente</w:t>
            </w:r>
          </w:p>
        </w:tc>
        <w:tc>
          <w:tcPr>
            <w:tcW w:type="dxa" w:w="4997"/>
            <w:vAlign w:val="center"/>
          </w:tcPr>
          <w:p>
            <w:r>
              <w:t>M3 com M1: validar modelo mínimo.</w:t>
            </w:r>
          </w:p>
        </w:tc>
      </w:tr>
      <w:tr>
        <w:tc>
          <w:tcPr>
            <w:tcW w:type="dxa" w:w="4997"/>
            <w:vAlign w:val="center"/>
          </w:tcPr>
          <w:p>
            <w:r>
              <w:t>Método e premissas das simulações</w:t>
            </w:r>
          </w:p>
        </w:tc>
        <w:tc>
          <w:tcPr>
            <w:tcW w:type="dxa" w:w="4997"/>
            <w:vAlign w:val="center"/>
          </w:tcPr>
          <w:p>
            <w:r>
              <w:t>M4: obter aprovação antes de cálculos definitivos.</w:t>
            </w:r>
          </w:p>
        </w:tc>
      </w:tr>
      <w:tr>
        <w:tc>
          <w:tcPr>
            <w:tcW w:type="dxa" w:w="4997"/>
            <w:vAlign w:val="center"/>
          </w:tcPr>
          <w:p>
            <w:r>
              <w:t>Regra de compartilhamento do calendário</w:t>
            </w:r>
          </w:p>
        </w:tc>
        <w:tc>
          <w:tcPr>
            <w:tcW w:type="dxa" w:w="4997"/>
            <w:vAlign w:val="center"/>
          </w:tcPr>
          <w:p>
            <w:r>
              <w:t>M6: confirmar com produto antes de expor eventos a outros perfis.</w:t>
            </w:r>
          </w:p>
        </w:tc>
      </w:tr>
      <w:tr>
        <w:tc>
          <w:tcPr>
            <w:tcW w:type="dxa" w:w="4997"/>
            <w:vAlign w:val="center"/>
          </w:tcPr>
          <w:p>
            <w:r>
              <w:t>Implantação, contas e limites dos provedores</w:t>
            </w:r>
          </w:p>
        </w:tc>
        <w:tc>
          <w:tcPr>
            <w:tcW w:type="dxa" w:w="4997"/>
            <w:vAlign w:val="center"/>
          </w:tcPr>
          <w:p>
            <w:r>
              <w:t>M1/M6: confirmar credenciais e ambiente de teste.</w:t>
            </w:r>
          </w:p>
        </w:tc>
      </w:tr>
    </w:tbl>
    <w:p>
      <w:pPr>
        <w:pStyle w:val="Heading1"/>
      </w:pPr>
      <w:r>
        <w:t>9. Definição de pronto (Definition of Done) por módulo</w:t>
      </w:r>
    </w:p>
    <w:p>
      <w:r>
        <w:t>Um módulo só é considerado pronto quando: (1) o fluxo principal funciona; (2) possui cenário de erro/vazio; (3) aplica autorização no servidor; (4) diferencia real, histórico e simulado quando necessário; (5) não quebra build ou outros módulos; (6) existe evidência de teste; (7) consta no roteiro da demonstração ou está explicitamente sinalizado como indisponível.</w:t>
      </w:r>
    </w:p>
    <w:p>
      <w:pPr>
        <w:pStyle w:val="Heading1"/>
      </w:pPr>
      <w:r>
        <w:t>10. Decisões versus propostas</w:t>
      </w:r>
    </w:p>
    <w:p>
      <w:r>
        <w:t>Aprovado: dois perfis; estrutura funcional original; cinco categorias de investimentos; FIIs/REITs; rankings Brasil/Internacional, 1/7/30 dias, até 10; renda fixa em painel próprio; preços na moeda original, variação na moeda de cotação; elegibilidade por liquidez e disponibilidade; preferência por preços ajustados; três notícias com IA, recência + relevância; cache inicial de 15 minutos; política de último dado real; Next.js/TypeScript, Supabase Auth/PostgreSQL; OpenAI como candidata preferencial.</w:t>
      </w:r>
    </w:p>
    <w:p>
      <w:r>
        <w:t>Proposto nesta distribuição: liderança por seis módulos, recortes mínimos para áreas ainda não especificadas, rotas internas além dos requisitos já documentados, organização de trabalho e critérios operacionais de aceite. Qualquer mudança significativa de escopo deve ser validada pela equipe antes da implementação.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RotaXP  •  Escopo de projeto  •  Versão 1.0  |  10 out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F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0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B7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22A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