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distribution of CashFlow values during the year with and without hedging</w:t>
      </w:r>
    </w:p>
    <w:p>
      <w:r>
        <w:t xml:space="preserve">LogNormal distribution was selected for Monte Carlo simulation of asset price motions during the year. </w:t>
      </w:r>
    </w:p>
    <w:p>
      <w:r>
        <w:t>10000 motions were simulated in total and 4 CashFlows, that are subject to risk of adverse EURUSD=X movements, were added:</w:t>
      </w:r>
    </w:p>
    <w:p>
      <w:pPr>
        <w:pStyle w:val="Heading1"/>
      </w:pPr>
      <w:r>
        <w:t>All Cashflows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Ammount</w:t>
            </w:r>
          </w:p>
        </w:tc>
        <w:tc>
          <w:tcPr>
            <w:tcW w:type="dxa" w:w="2160"/>
          </w:tcPr>
          <w:p>
            <w:r>
              <w:t>Buy</w:t>
            </w:r>
          </w:p>
        </w:tc>
        <w:tc>
          <w:tcPr>
            <w:tcW w:type="dxa" w:w="2160"/>
          </w:tcPr>
          <w:p>
            <w:r>
              <w:t>Hedging strategy</w:t>
            </w:r>
          </w:p>
        </w:tc>
      </w:tr>
      <w:tr>
        <w:tc>
          <w:tcPr>
            <w:tcW w:type="dxa" w:w="2160"/>
          </w:tcPr>
          <w:p>
            <w:r>
              <w:t>2023-01-04</w:t>
            </w:r>
          </w:p>
        </w:tc>
        <w:tc>
          <w:tcPr>
            <w:tcW w:type="dxa" w:w="2160"/>
          </w:tcPr>
          <w:p>
            <w:r>
              <w:t>200000.0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Collar [0.93,1.05]</w:t>
            </w:r>
          </w:p>
        </w:tc>
      </w:tr>
      <w:tr>
        <w:tc>
          <w:tcPr>
            <w:tcW w:type="dxa" w:w="2160"/>
          </w:tcPr>
          <w:p>
            <w:r>
              <w:t>2023-03-31</w:t>
            </w:r>
          </w:p>
        </w:tc>
        <w:tc>
          <w:tcPr>
            <w:tcW w:type="dxa" w:w="2160"/>
          </w:tcPr>
          <w:p>
            <w:r>
              <w:t>200000.0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FRD 0.99492</w:t>
            </w:r>
          </w:p>
        </w:tc>
      </w:tr>
      <w:tr>
        <w:tc>
          <w:tcPr>
            <w:tcW w:type="dxa" w:w="2160"/>
          </w:tcPr>
          <w:p>
            <w:r>
              <w:t>2023-06-30</w:t>
            </w:r>
          </w:p>
        </w:tc>
        <w:tc>
          <w:tcPr>
            <w:tcW w:type="dxa" w:w="2160"/>
          </w:tcPr>
          <w:p>
            <w:r>
              <w:t>200000.0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Call option 1.05</w:t>
            </w:r>
          </w:p>
        </w:tc>
      </w:tr>
      <w:tr>
        <w:tc>
          <w:tcPr>
            <w:tcW w:type="dxa" w:w="2160"/>
          </w:tcPr>
          <w:p>
            <w:r>
              <w:t>2023-09-29</w:t>
            </w:r>
          </w:p>
        </w:tc>
        <w:tc>
          <w:tcPr>
            <w:tcW w:type="dxa" w:w="2160"/>
          </w:tcPr>
          <w:p>
            <w:r>
              <w:t>200000.0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Collar [0.96,1.05]</w:t>
            </w:r>
          </w:p>
        </w:tc>
      </w:tr>
    </w:tbl>
    <w:p>
      <w:r>
        <w:br w:type="page"/>
      </w:r>
    </w:p>
    <w:p>
      <w:pPr>
        <w:pStyle w:val="Heading1"/>
      </w:pPr>
      <w:r>
        <w:t>No hedging</w:t>
      </w:r>
    </w:p>
    <w:p>
      <w:r>
        <w:t>Given the distribution of EURUSD=X and the future cashflows, risks for the enterprise are the following: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The worst total value of CFs </w:t>
            </w:r>
          </w:p>
        </w:tc>
        <w:tc>
          <w:tcPr>
            <w:tcW w:type="dxa" w:w="4320"/>
          </w:tcPr>
          <w:p>
            <w:r>
              <w:t>-996799.8749</w:t>
            </w:r>
          </w:p>
        </w:tc>
      </w:tr>
      <w:tr>
        <w:tc>
          <w:tcPr>
            <w:tcW w:type="dxa" w:w="4320"/>
          </w:tcPr>
          <w:p>
            <w:r>
              <w:t xml:space="preserve">The best total value of CFs </w:t>
            </w:r>
          </w:p>
        </w:tc>
        <w:tc>
          <w:tcPr>
            <w:tcW w:type="dxa" w:w="4320"/>
          </w:tcPr>
          <w:p>
            <w:r>
              <w:t>-628228.3352</w:t>
            </w:r>
          </w:p>
        </w:tc>
      </w:tr>
      <w:tr>
        <w:tc>
          <w:tcPr>
            <w:tcW w:type="dxa" w:w="4320"/>
          </w:tcPr>
          <w:p>
            <w:r>
              <w:t>VaR 1%</w:t>
            </w:r>
          </w:p>
        </w:tc>
        <w:tc>
          <w:tcPr>
            <w:tcW w:type="dxa" w:w="4320"/>
          </w:tcPr>
          <w:p>
            <w:r>
              <w:t>-872277.4951</w:t>
            </w:r>
          </w:p>
        </w:tc>
      </w:tr>
      <w:tr>
        <w:tc>
          <w:tcPr>
            <w:tcW w:type="dxa" w:w="4320"/>
          </w:tcPr>
          <w:p>
            <w:r>
              <w:t>VaR 5%</w:t>
            </w:r>
          </w:p>
        </w:tc>
        <w:tc>
          <w:tcPr>
            <w:tcW w:type="dxa" w:w="4320"/>
          </w:tcPr>
          <w:p>
            <w:r>
              <w:t>-837879.7392</w:t>
            </w:r>
          </w:p>
        </w:tc>
      </w:tr>
    </w:tbl>
    <w:p>
      <w:pPr>
        <w:pStyle w:val="Heading2"/>
      </w:pPr>
      <w:r>
        <w:t>Plot of total CashFlow value distribution WITHOUT HEDGING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dging_absence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Hedging implemented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The worst total value of CFs</w:t>
            </w:r>
          </w:p>
        </w:tc>
        <w:tc>
          <w:tcPr>
            <w:tcW w:type="dxa" w:w="4320"/>
          </w:tcPr>
          <w:p>
            <w:r>
              <w:t>-840984.0000</w:t>
            </w:r>
          </w:p>
        </w:tc>
      </w:tr>
      <w:tr>
        <w:tc>
          <w:tcPr>
            <w:tcW w:type="dxa" w:w="4320"/>
          </w:tcPr>
          <w:p>
            <w:r>
              <w:t>The best total value of CFs</w:t>
            </w:r>
          </w:p>
        </w:tc>
        <w:tc>
          <w:tcPr>
            <w:tcW w:type="dxa" w:w="4320"/>
          </w:tcPr>
          <w:p>
            <w:r>
              <w:t>-738546.0141</w:t>
            </w:r>
          </w:p>
        </w:tc>
      </w:tr>
      <w:tr>
        <w:tc>
          <w:tcPr>
            <w:tcW w:type="dxa" w:w="4320"/>
          </w:tcPr>
          <w:p>
            <w:r>
              <w:t>VaR 1%</w:t>
            </w:r>
          </w:p>
        </w:tc>
        <w:tc>
          <w:tcPr>
            <w:tcW w:type="dxa" w:w="4320"/>
          </w:tcPr>
          <w:p>
            <w:r>
              <w:t>-840867.6717</w:t>
            </w:r>
          </w:p>
        </w:tc>
      </w:tr>
      <w:tr>
        <w:tc>
          <w:tcPr>
            <w:tcW w:type="dxa" w:w="4320"/>
          </w:tcPr>
          <w:p>
            <w:r>
              <w:t>VaR 5%</w:t>
            </w:r>
          </w:p>
        </w:tc>
        <w:tc>
          <w:tcPr>
            <w:tcW w:type="dxa" w:w="4320"/>
          </w:tcPr>
          <w:p>
            <w:r>
              <w:t>-831435.1197</w:t>
            </w:r>
          </w:p>
        </w:tc>
      </w:tr>
    </w:tbl>
    <w:p>
      <w:pPr>
        <w:pStyle w:val="Heading2"/>
      </w:pPr>
      <w:r>
        <w:t>Plot of total CashFlow value distribution WITH HEDGING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dging_presence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Proportion of bad cases avoided</w:t>
            </w:r>
          </w:p>
        </w:tc>
        <w:tc>
          <w:tcPr>
            <w:tcW w:type="dxa" w:w="4320"/>
          </w:tcPr>
          <w:p>
            <w:r>
              <w:t>4.31%</w:t>
            </w:r>
          </w:p>
        </w:tc>
      </w:tr>
      <w:tr>
        <w:tc>
          <w:tcPr>
            <w:tcW w:type="dxa" w:w="4320"/>
          </w:tcPr>
          <w:p>
            <w:r>
              <w:t>Proportion of good cases avoided</w:t>
            </w:r>
          </w:p>
        </w:tc>
        <w:tc>
          <w:tcPr>
            <w:tcW w:type="dxa" w:w="4320"/>
          </w:tcPr>
          <w:p>
            <w:r>
              <w:t>25.01%</w:t>
            </w:r>
          </w:p>
        </w:tc>
      </w:tr>
      <w:tr>
        <w:tc>
          <w:tcPr>
            <w:tcW w:type="dxa" w:w="4320"/>
          </w:tcPr>
          <w:p>
            <w:r>
              <w:t>Worst case difference</w:t>
            </w:r>
          </w:p>
        </w:tc>
        <w:tc>
          <w:tcPr>
            <w:tcW w:type="dxa" w:w="4320"/>
          </w:tcPr>
          <w:p>
            <w:r>
              <w:t>155815.87493183743</w:t>
            </w:r>
          </w:p>
        </w:tc>
      </w:tr>
      <w:tr>
        <w:tc>
          <w:tcPr>
            <w:tcW w:type="dxa" w:w="4320"/>
          </w:tcPr>
          <w:p>
            <w:r>
              <w:t>Best case difference</w:t>
            </w:r>
          </w:p>
        </w:tc>
        <w:tc>
          <w:tcPr>
            <w:tcW w:type="dxa" w:w="4320"/>
          </w:tcPr>
          <w:p>
            <w:r>
              <w:t>258253.8608624118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