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456" w:type="dxa"/>
        <w:tblLayout w:type="fixed"/>
        <w:tblLook w:val="04A0" w:firstRow="1" w:lastRow="0" w:firstColumn="1" w:lastColumn="0" w:noHBand="0" w:noVBand="1"/>
      </w:tblPr>
      <w:tblGrid>
        <w:gridCol w:w="2046"/>
        <w:gridCol w:w="3336"/>
        <w:gridCol w:w="2264"/>
        <w:gridCol w:w="1280"/>
        <w:gridCol w:w="1530"/>
      </w:tblGrid>
      <w:tr w:rsidR="00A75FA8" w:rsidRPr="006F5C3F" w14:paraId="6A1A5289" w14:textId="77777777" w:rsidTr="00A75FA8">
        <w:trPr>
          <w:trHeight w:val="567"/>
        </w:trPr>
        <w:tc>
          <w:tcPr>
            <w:tcW w:w="2046" w:type="dxa"/>
            <w:vMerge w:val="restart"/>
            <w:vAlign w:val="center"/>
          </w:tcPr>
          <w:p w14:paraId="127AF7ED" w14:textId="7E936240" w:rsidR="00671E31" w:rsidRPr="006F5C3F" w:rsidRDefault="00671E31" w:rsidP="00671E31">
            <w:pPr>
              <w:jc w:val="center"/>
              <w:rPr>
                <w:rFonts w:ascii="Arial" w:hAnsi="Arial" w:cs="Arial"/>
              </w:rPr>
            </w:pPr>
          </w:p>
          <w:p w14:paraId="12860648" w14:textId="77777777" w:rsidR="009523DB" w:rsidRPr="006F5C3F" w:rsidRDefault="00A75FA8" w:rsidP="00671E31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76985A0" wp14:editId="4637FFCD">
                  <wp:extent cx="1051560" cy="788670"/>
                  <wp:effectExtent l="0" t="0" r="0" b="0"/>
                  <wp:docPr id="2" name="image1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0" w:type="dxa"/>
            <w:gridSpan w:val="4"/>
            <w:vAlign w:val="center"/>
          </w:tcPr>
          <w:p w14:paraId="3AABC110" w14:textId="772D3472" w:rsidR="00671E31" w:rsidRPr="006F5C3F" w:rsidRDefault="00671E31" w:rsidP="00A60601">
            <w:pPr>
              <w:jc w:val="center"/>
              <w:rPr>
                <w:rFonts w:ascii="Arial" w:hAnsi="Arial" w:cs="Arial"/>
                <w:b/>
              </w:rPr>
            </w:pPr>
            <w:r w:rsidRPr="006F5C3F">
              <w:rPr>
                <w:rFonts w:ascii="Arial" w:hAnsi="Arial" w:cs="Arial"/>
                <w:b/>
              </w:rPr>
              <w:t>E</w:t>
            </w:r>
            <w:r w:rsidR="006F5C3F" w:rsidRPr="006F5C3F">
              <w:rPr>
                <w:rFonts w:ascii="Arial" w:hAnsi="Arial" w:cs="Arial"/>
                <w:b/>
              </w:rPr>
              <w:t xml:space="preserve">scola Técnica Estadual </w:t>
            </w:r>
            <w:r w:rsidRPr="006F5C3F">
              <w:rPr>
                <w:rFonts w:ascii="Arial" w:hAnsi="Arial" w:cs="Arial"/>
                <w:b/>
              </w:rPr>
              <w:t>de</w:t>
            </w:r>
          </w:p>
        </w:tc>
      </w:tr>
      <w:tr w:rsidR="00A75FA8" w:rsidRPr="006F5C3F" w14:paraId="2DEFFF5C" w14:textId="77777777" w:rsidTr="00A75FA8">
        <w:trPr>
          <w:trHeight w:val="283"/>
        </w:trPr>
        <w:tc>
          <w:tcPr>
            <w:tcW w:w="2046" w:type="dxa"/>
            <w:vMerge/>
          </w:tcPr>
          <w:p w14:paraId="0EDD35CD" w14:textId="77777777" w:rsidR="000B1645" w:rsidRPr="006F5C3F" w:rsidRDefault="000B1645">
            <w:pPr>
              <w:rPr>
                <w:rFonts w:ascii="Arial" w:hAnsi="Arial" w:cs="Arial"/>
              </w:rPr>
            </w:pPr>
          </w:p>
        </w:tc>
        <w:tc>
          <w:tcPr>
            <w:tcW w:w="5600" w:type="dxa"/>
            <w:gridSpan w:val="2"/>
          </w:tcPr>
          <w:p w14:paraId="5765BFC1" w14:textId="7AED599A" w:rsidR="000B1645" w:rsidRPr="00A75FA8" w:rsidRDefault="000B1645" w:rsidP="009954DD">
            <w:pPr>
              <w:rPr>
                <w:rFonts w:ascii="Arial" w:hAnsi="Arial" w:cs="Arial"/>
              </w:rPr>
            </w:pPr>
            <w:r w:rsidRPr="00A75FA8">
              <w:rPr>
                <w:rFonts w:ascii="Arial" w:hAnsi="Arial" w:cs="Arial"/>
                <w:b/>
              </w:rPr>
              <w:t>Nome</w:t>
            </w:r>
            <w:r w:rsidR="009954DD">
              <w:rPr>
                <w:rFonts w:ascii="Arial" w:hAnsi="Arial" w:cs="Arial"/>
                <w:b/>
              </w:rPr>
              <w:t xml:space="preserve">: </w:t>
            </w:r>
            <w:r w:rsidR="008C374E">
              <w:rPr>
                <w:rFonts w:ascii="Arial" w:hAnsi="Arial" w:cs="Arial"/>
                <w:b/>
              </w:rPr>
              <w:t>___</w:t>
            </w:r>
          </w:p>
        </w:tc>
        <w:tc>
          <w:tcPr>
            <w:tcW w:w="1280" w:type="dxa"/>
          </w:tcPr>
          <w:p w14:paraId="757A377C" w14:textId="77777777" w:rsidR="000B1645" w:rsidRPr="006F5C3F" w:rsidRDefault="002326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  <w:sz w:val="24"/>
              </w:rPr>
              <w:t>º</w:t>
            </w:r>
            <w:r w:rsidR="009523DB">
              <w:rPr>
                <w:rFonts w:ascii="Arial" w:hAnsi="Arial" w:cs="Arial"/>
                <w:b/>
              </w:rPr>
              <w:t>. Grupo</w:t>
            </w:r>
          </w:p>
          <w:p w14:paraId="6CAF9139" w14:textId="77777777" w:rsidR="000B1645" w:rsidRPr="006F5C3F" w:rsidRDefault="000B1645">
            <w:pPr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2663173E" w14:textId="77777777" w:rsidR="00913697" w:rsidRDefault="009523DB">
            <w:pPr>
              <w:rPr>
                <w:rFonts w:ascii="Arial" w:hAnsi="Arial" w:cs="Arial"/>
                <w:sz w:val="14"/>
              </w:rPr>
            </w:pPr>
            <w:proofErr w:type="spellStart"/>
            <w:r>
              <w:rPr>
                <w:rFonts w:ascii="Arial" w:hAnsi="Arial" w:cs="Arial"/>
                <w:b/>
                <w:sz w:val="14"/>
              </w:rPr>
              <w:t>Mód</w:t>
            </w:r>
            <w:proofErr w:type="spellEnd"/>
            <w:r>
              <w:rPr>
                <w:rFonts w:ascii="Arial" w:hAnsi="Arial" w:cs="Arial"/>
                <w:b/>
                <w:sz w:val="14"/>
              </w:rPr>
              <w:t>.</w:t>
            </w:r>
            <w:r w:rsidR="000B1645" w:rsidRPr="006F5C3F">
              <w:rPr>
                <w:rFonts w:ascii="Arial" w:hAnsi="Arial" w:cs="Arial"/>
                <w:b/>
                <w:sz w:val="14"/>
              </w:rPr>
              <w:t xml:space="preserve"> / Curso</w:t>
            </w:r>
            <w:r>
              <w:rPr>
                <w:rFonts w:ascii="Arial" w:hAnsi="Arial" w:cs="Arial"/>
                <w:b/>
                <w:sz w:val="14"/>
              </w:rPr>
              <w:t xml:space="preserve"> / Período</w:t>
            </w:r>
          </w:p>
          <w:p w14:paraId="427F6FC7" w14:textId="77777777" w:rsidR="000B1645" w:rsidRPr="009523DB" w:rsidRDefault="009954DD" w:rsidP="009136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</w:t>
            </w:r>
            <w:r w:rsidR="00A75FA8">
              <w:rPr>
                <w:rFonts w:ascii="Arial" w:hAnsi="Arial" w:cs="Arial"/>
              </w:rPr>
              <w:t>º</w:t>
            </w:r>
            <w:r w:rsidR="009523DB" w:rsidRPr="009523DB">
              <w:rPr>
                <w:rFonts w:ascii="Arial" w:hAnsi="Arial" w:cs="Arial"/>
                <w:b/>
              </w:rPr>
              <w:t xml:space="preserve"> Q</w:t>
            </w:r>
            <w:r>
              <w:rPr>
                <w:rFonts w:ascii="Arial" w:hAnsi="Arial" w:cs="Arial"/>
              </w:rPr>
              <w:t xml:space="preserve"> manhã</w:t>
            </w:r>
          </w:p>
        </w:tc>
      </w:tr>
      <w:tr w:rsidR="00A75FA8" w:rsidRPr="006F5C3F" w14:paraId="128A9FF8" w14:textId="77777777" w:rsidTr="00A75FA8">
        <w:trPr>
          <w:trHeight w:val="283"/>
        </w:trPr>
        <w:tc>
          <w:tcPr>
            <w:tcW w:w="2046" w:type="dxa"/>
            <w:vMerge/>
          </w:tcPr>
          <w:p w14:paraId="6B242CA2" w14:textId="77777777" w:rsidR="006F5C3F" w:rsidRPr="006F5C3F" w:rsidRDefault="006F5C3F">
            <w:pPr>
              <w:rPr>
                <w:rFonts w:ascii="Arial" w:hAnsi="Arial" w:cs="Arial"/>
              </w:rPr>
            </w:pPr>
          </w:p>
        </w:tc>
        <w:tc>
          <w:tcPr>
            <w:tcW w:w="3336" w:type="dxa"/>
          </w:tcPr>
          <w:p w14:paraId="65D1363D" w14:textId="69436001" w:rsidR="006F5C3F" w:rsidRPr="00A75FA8" w:rsidRDefault="006F5C3F">
            <w:pPr>
              <w:rPr>
                <w:rFonts w:ascii="Arial" w:hAnsi="Arial" w:cs="Arial"/>
                <w:b/>
              </w:rPr>
            </w:pPr>
            <w:r w:rsidRPr="00A75FA8">
              <w:rPr>
                <w:rFonts w:ascii="Arial" w:hAnsi="Arial" w:cs="Arial"/>
                <w:b/>
              </w:rPr>
              <w:t>Professor:</w:t>
            </w:r>
            <w:r w:rsidR="004572B0">
              <w:rPr>
                <w:rFonts w:ascii="Arial" w:hAnsi="Arial" w:cs="Arial"/>
                <w:b/>
              </w:rPr>
              <w:t xml:space="preserve"> </w:t>
            </w:r>
            <w:r w:rsidR="00387E85">
              <w:rPr>
                <w:rFonts w:ascii="Arial" w:hAnsi="Arial" w:cs="Arial"/>
                <w:b/>
              </w:rPr>
              <w:t>Will</w:t>
            </w:r>
            <w:r w:rsidR="007C0197">
              <w:rPr>
                <w:rFonts w:ascii="Arial" w:hAnsi="Arial" w:cs="Arial"/>
                <w:b/>
              </w:rPr>
              <w:t>y</w:t>
            </w:r>
          </w:p>
          <w:p w14:paraId="261AB7E0" w14:textId="77777777" w:rsidR="006F5C3F" w:rsidRPr="00A75FA8" w:rsidRDefault="006F5C3F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</w:tcPr>
          <w:p w14:paraId="6A0CCD8F" w14:textId="616B30CA" w:rsidR="006F5C3F" w:rsidRPr="006F5C3F" w:rsidRDefault="006F5C3F">
            <w:pPr>
              <w:rPr>
                <w:rFonts w:ascii="Arial" w:hAnsi="Arial" w:cs="Arial"/>
                <w:b/>
              </w:rPr>
            </w:pPr>
            <w:r w:rsidRPr="006F5C3F">
              <w:rPr>
                <w:rFonts w:ascii="Arial" w:hAnsi="Arial" w:cs="Arial"/>
                <w:b/>
              </w:rPr>
              <w:t>Disciplina:</w:t>
            </w:r>
            <w:r w:rsidR="004572B0">
              <w:rPr>
                <w:rFonts w:ascii="Arial" w:hAnsi="Arial" w:cs="Arial"/>
                <w:b/>
              </w:rPr>
              <w:t xml:space="preserve"> A</w:t>
            </w:r>
            <w:r w:rsidR="007C0197">
              <w:rPr>
                <w:rFonts w:ascii="Arial" w:hAnsi="Arial" w:cs="Arial"/>
                <w:b/>
              </w:rPr>
              <w:t>Q</w:t>
            </w:r>
            <w:r w:rsidR="00387E85">
              <w:rPr>
                <w:rFonts w:ascii="Arial" w:hAnsi="Arial" w:cs="Arial"/>
                <w:b/>
              </w:rPr>
              <w:t>Q</w:t>
            </w:r>
            <w:r w:rsidR="007C0197">
              <w:rPr>
                <w:rFonts w:ascii="Arial" w:hAnsi="Arial" w:cs="Arial"/>
                <w:b/>
              </w:rPr>
              <w:t>T</w:t>
            </w:r>
          </w:p>
          <w:p w14:paraId="0836E834" w14:textId="77777777" w:rsidR="006F5C3F" w:rsidRPr="006F5C3F" w:rsidRDefault="006F5C3F">
            <w:pPr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3D76D308" w14:textId="77777777" w:rsidR="006F5C3F" w:rsidRPr="006F5C3F" w:rsidRDefault="006F5C3F">
            <w:pPr>
              <w:rPr>
                <w:rFonts w:ascii="Arial" w:hAnsi="Arial" w:cs="Arial"/>
                <w:b/>
              </w:rPr>
            </w:pPr>
            <w:r w:rsidRPr="006F5C3F">
              <w:rPr>
                <w:rFonts w:ascii="Arial" w:hAnsi="Arial" w:cs="Arial"/>
                <w:b/>
              </w:rPr>
              <w:t>Data:</w:t>
            </w:r>
            <w:r w:rsidRPr="006F5C3F">
              <w:rPr>
                <w:rFonts w:ascii="Arial" w:hAnsi="Arial" w:cs="Arial"/>
              </w:rPr>
              <w:t xml:space="preserve"> </w:t>
            </w:r>
          </w:p>
        </w:tc>
      </w:tr>
      <w:tr w:rsidR="00A75FA8" w:rsidRPr="006F5C3F" w14:paraId="53680B6B" w14:textId="77777777" w:rsidTr="00A75FA8">
        <w:trPr>
          <w:trHeight w:val="567"/>
        </w:trPr>
        <w:tc>
          <w:tcPr>
            <w:tcW w:w="2046" w:type="dxa"/>
            <w:vMerge/>
          </w:tcPr>
          <w:p w14:paraId="6B279A33" w14:textId="77777777" w:rsidR="00671E31" w:rsidRPr="006F5C3F" w:rsidRDefault="00671E31">
            <w:pPr>
              <w:rPr>
                <w:rFonts w:ascii="Arial" w:hAnsi="Arial" w:cs="Arial"/>
              </w:rPr>
            </w:pPr>
          </w:p>
        </w:tc>
        <w:tc>
          <w:tcPr>
            <w:tcW w:w="6880" w:type="dxa"/>
            <w:gridSpan w:val="3"/>
            <w:vAlign w:val="center"/>
          </w:tcPr>
          <w:p w14:paraId="69537DB4" w14:textId="1C35D577" w:rsidR="00671E31" w:rsidRPr="006F5C3F" w:rsidRDefault="009523DB" w:rsidP="009523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Atividade:</w:t>
            </w:r>
            <w:r w:rsidR="004572B0">
              <w:rPr>
                <w:rFonts w:ascii="Arial" w:hAnsi="Arial" w:cs="Arial"/>
                <w:b/>
              </w:rPr>
              <w:t xml:space="preserve">  </w:t>
            </w:r>
            <w:r w:rsidR="00383A1E">
              <w:rPr>
                <w:rFonts w:ascii="Arial" w:hAnsi="Arial" w:cs="Arial"/>
                <w:b/>
              </w:rPr>
              <w:t xml:space="preserve">Relatório: </w:t>
            </w:r>
            <w:r w:rsidR="007C0197">
              <w:rPr>
                <w:rFonts w:ascii="Arial" w:hAnsi="Arial" w:cs="Arial"/>
                <w:b/>
              </w:rPr>
              <w:t>Acidez do vinagre</w:t>
            </w:r>
          </w:p>
        </w:tc>
        <w:tc>
          <w:tcPr>
            <w:tcW w:w="1530" w:type="dxa"/>
          </w:tcPr>
          <w:p w14:paraId="430A40E0" w14:textId="77777777" w:rsidR="00671E31" w:rsidRPr="006F5C3F" w:rsidRDefault="00671E31" w:rsidP="00671E31">
            <w:pPr>
              <w:rPr>
                <w:rFonts w:ascii="Arial" w:hAnsi="Arial" w:cs="Arial"/>
                <w:b/>
              </w:rPr>
            </w:pPr>
            <w:r w:rsidRPr="006F5C3F">
              <w:rPr>
                <w:rFonts w:ascii="Arial" w:hAnsi="Arial" w:cs="Arial"/>
                <w:b/>
              </w:rPr>
              <w:t>Menção:</w:t>
            </w:r>
          </w:p>
          <w:p w14:paraId="7B67AD15" w14:textId="77777777" w:rsidR="00671E31" w:rsidRPr="006F5C3F" w:rsidRDefault="00671E31" w:rsidP="00671E31">
            <w:pPr>
              <w:rPr>
                <w:rFonts w:ascii="Arial" w:hAnsi="Arial" w:cs="Arial"/>
                <w:b/>
              </w:rPr>
            </w:pPr>
          </w:p>
        </w:tc>
      </w:tr>
    </w:tbl>
    <w:p w14:paraId="598AED66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41C2409D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5435A9B7" w14:textId="77777777" w:rsidR="003236A6" w:rsidRDefault="00383A1E" w:rsidP="00F40D9D">
      <w:pPr>
        <w:ind w:right="-56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5D408C" wp14:editId="2D823C5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629400" cy="7482840"/>
                <wp:effectExtent l="0" t="0" r="19050" b="2286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748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18448" w14:textId="1E66DFAD" w:rsidR="007C0197" w:rsidRDefault="00387E85" w:rsidP="007C019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72B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vinagre é uma substância com composição química cuja fiscalização é vital, garantindo um consumo seguro e adequado do produto.</w:t>
                            </w:r>
                            <w:r w:rsidR="000B72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Entre um de seus componentes que sua quantidade é importante ser determinada, podemos citar</w:t>
                            </w:r>
                            <w:r w:rsidR="00B103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 ácido acético,</w:t>
                            </w:r>
                            <w:r w:rsidR="00924DC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 qual segundo a Anvisa deve estar entre 4% e 6%.</w:t>
                            </w:r>
                          </w:p>
                          <w:p w14:paraId="6B9FA14C" w14:textId="58B07B56" w:rsidR="00FB5ED3" w:rsidRDefault="00FB5ED3" w:rsidP="007C019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Uma das técnicas mais adequadas para este importante processo é a titulação, tirando proveito que como todo ácido, este reage com bases, portanto, pode-se calcular quanto ácido acético há em qualquer amostra a partir do conhecimento de quanto de uma base, como hidróxido de sódio foi usado, se tivermos conhecimento de sua concentração. Depois da preparação da solução, é requirido uma padronização </w:t>
                            </w:r>
                            <w:r w:rsidR="006739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para garantir maior precisão.</w:t>
                            </w:r>
                          </w:p>
                          <w:p w14:paraId="10AE1FAF" w14:textId="322E602C" w:rsidR="00673932" w:rsidRPr="00673932" w:rsidRDefault="00673932" w:rsidP="007C019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Pesou-se 10 gramas de NaOH para cada 500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água destilada (0,5 mol/L), e após sua diluição, dissolveu-se cerca de 0,5 grama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biftalato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potássio (cuja massa deve ser anotada precisamente), na solução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biftalato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também adicionou um indicador, neste caso 3 gotas de fenolftaleína, e titulou-se gotas de NaOH até atingir o ponto de viragem. Em nosso grupo, a quantidade consumida do volume de NaOH atingiu 5,1*10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L,resultando em 0,481mol/L, e fazendo a média com o resultado do outro grupo,</w:t>
                            </w:r>
                            <w:r w:rsidR="0055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considerar-se-á 0,486mol/L como a molaridade real do NaOH para a próxima etapa, a titulação de ácido acético.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7721A6" w14:textId="74907CE3" w:rsidR="006B4BD5" w:rsidRDefault="006B4BD5" w:rsidP="005D4F8A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55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Adicionou-se aproximadamente 5 gramas de cada amostra de ácido (anotou-se a massa precisa para o cálculo do teor), e com auxílio do equipamento, titulou-se gotas de NaOH até o ponto de viragem, sendo o volume em ambas as amostras</w:t>
                            </w:r>
                            <w:r w:rsidR="005877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em torno de 7,5 </w:t>
                            </w:r>
                            <w:proofErr w:type="spellStart"/>
                            <w:r w:rsidR="005877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mL</w:t>
                            </w:r>
                            <w:proofErr w:type="spellEnd"/>
                            <w:r w:rsidR="005877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resultando em 0,21879 g de ácido, e ao dividir pela massa total de ácido, obteve-se o teor de 4,36% de ácido para a amostra do vinagre da marca “Castelo” e 4,37% para a amostra da marca “Toscano”.</w:t>
                            </w:r>
                          </w:p>
                          <w:p w14:paraId="6614067A" w14:textId="626E94A6" w:rsidR="0058773B" w:rsidRPr="00FF616D" w:rsidRDefault="0058773B" w:rsidP="005D4F8A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Conclui-se então que ambas as amostras certamente segue as regulações formais e que foi possível ter resultados consideravelmente consistentes graças à eficiência da técnica utilizada.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D408C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.7pt;width:522pt;height:589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" fillcolor="white [3201]" strokeweight=".5pt">
                <v:textbox>
                  <w:txbxContent>
                    <w:p w14:paraId="78518448" w14:textId="1E66DFAD" w:rsidR="007C0197" w:rsidRDefault="00387E85" w:rsidP="007C019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72BBE">
                        <w:rPr>
                          <w:rFonts w:ascii="Arial" w:hAnsi="Arial" w:cs="Arial"/>
                          <w:sz w:val="24"/>
                          <w:szCs w:val="24"/>
                        </w:rPr>
                        <w:t>O vinagre é uma substância com composição química cuja fiscalização é vital, garantindo um consumo seguro e adequado do produto.</w:t>
                      </w:r>
                      <w:r w:rsidR="000B72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Entre um de seus componentes que sua quantidade é importante ser determinada, podemos citar</w:t>
                      </w:r>
                      <w:r w:rsidR="00B103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 ácido acético,</w:t>
                      </w:r>
                      <w:r w:rsidR="00924DC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 qual segundo a Anvisa deve estar entre 4% e 6%.</w:t>
                      </w:r>
                    </w:p>
                    <w:p w14:paraId="6B9FA14C" w14:textId="58B07B56" w:rsidR="00FB5ED3" w:rsidRDefault="00FB5ED3" w:rsidP="007C019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Uma das técnicas mais adequadas para este importante processo é a titulação, tirando proveito que como todo ácido, este reage com bases, portanto, pode-se calcular quanto ácido acético há em qualquer amostra a partir do conhecimento de quanto de uma base, como hidróxido de sódio foi usado, se tivermos conhecimento de sua concentração. Depois da preparação da solução, é requirido uma padronização </w:t>
                      </w:r>
                      <w:r w:rsidR="00673932">
                        <w:rPr>
                          <w:rFonts w:ascii="Arial" w:hAnsi="Arial" w:cs="Arial"/>
                          <w:sz w:val="24"/>
                          <w:szCs w:val="24"/>
                        </w:rPr>
                        <w:t>para garantir maior precisão.</w:t>
                      </w:r>
                    </w:p>
                    <w:p w14:paraId="10AE1FAF" w14:textId="322E602C" w:rsidR="00673932" w:rsidRPr="00673932" w:rsidRDefault="00673932" w:rsidP="007C019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Pesou-se 10 gramas de NaOH para cada 500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mL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água destilada (0,5 mol/L), e após sua diluição, dissolveu-se cerca de 0,5 grama de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biftalato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potássio (cuja massa deve ser anotada precisamente), na solução de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biftalato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também adicionou um indicador, neste caso 3 gotas de fenolftaleína, e titulou-se gotas de NaOH até atingir o ponto de viragem. Em nosso grupo, a quantidade consumida do volume de NaOH atingiu 5,1*10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-3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L,resultando em 0,481mol/L, e fazendo a média com o resultado do outro grupo,</w:t>
                      </w:r>
                      <w:r w:rsidR="005507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considerar-se-á 0,486mol/L como a molaridade real do NaOH para a próxima etapa, a titulação de ácido acético.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7721A6" w14:textId="74907CE3" w:rsidR="006B4BD5" w:rsidRDefault="006B4BD5" w:rsidP="005D4F8A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55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Adicionou-se aproximadamente 5 gramas de cada amostra de ácido (anotou-se a massa precisa para o cálculo do teor), e com auxílio do equipamento, titulou-se gotas de NaOH até o ponto de viragem, sendo o volume em ambas as amostras</w:t>
                      </w:r>
                      <w:r w:rsidR="0058773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em torno de 7,5 </w:t>
                      </w:r>
                      <w:proofErr w:type="spellStart"/>
                      <w:r w:rsidR="0058773B">
                        <w:rPr>
                          <w:rFonts w:ascii="Arial" w:hAnsi="Arial" w:cs="Arial"/>
                          <w:sz w:val="24"/>
                          <w:szCs w:val="24"/>
                        </w:rPr>
                        <w:t>mL</w:t>
                      </w:r>
                      <w:proofErr w:type="spellEnd"/>
                      <w:r w:rsidR="0058773B">
                        <w:rPr>
                          <w:rFonts w:ascii="Arial" w:hAnsi="Arial" w:cs="Arial"/>
                          <w:sz w:val="24"/>
                          <w:szCs w:val="24"/>
                        </w:rPr>
                        <w:t>, resultando em 0,21879 g de ácido, e ao dividir pela massa total de ácido, obteve-se o teor de 4,36% de ácido para a amostra do vinagre da marca “Castelo” e 4,37% para a amostra da marca “Toscano”.</w:t>
                      </w:r>
                    </w:p>
                    <w:p w14:paraId="6614067A" w14:textId="626E94A6" w:rsidR="0058773B" w:rsidRPr="00FF616D" w:rsidRDefault="0058773B" w:rsidP="005D4F8A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Conclui-se então que ambas as amostras certamente segue as regulações formais e que foi possível ter resultados consideravelmente consistentes graças à eficiência da técnica utilizada.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BCB3CA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474A0BD9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7EB557E6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0DFA0B1E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4C893B6A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47B93038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267B9E99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6F802DA5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2363F985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4D68306B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31164F31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3FE8C7DE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60486AE9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553A4FA0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390D84F1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56B1E6E5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01F3B4C3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7D6A60F2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75162863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6E185446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3665FA71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01458205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6299996F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39A02A31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507F6A33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4319FC8C" w14:textId="77777777" w:rsidR="003236A6" w:rsidRDefault="003236A6" w:rsidP="00F40D9D">
      <w:pPr>
        <w:ind w:right="-569"/>
        <w:jc w:val="both"/>
        <w:rPr>
          <w:rFonts w:ascii="Arial" w:hAnsi="Arial" w:cs="Arial"/>
        </w:rPr>
      </w:pPr>
    </w:p>
    <w:p w14:paraId="56FA4E6A" w14:textId="77777777" w:rsidR="00A56C89" w:rsidRPr="006F5C3F" w:rsidRDefault="00A56C89" w:rsidP="00F40D9D">
      <w:pPr>
        <w:ind w:right="-569"/>
        <w:jc w:val="both"/>
        <w:rPr>
          <w:rFonts w:ascii="Arial" w:hAnsi="Arial" w:cs="Arial"/>
        </w:rPr>
      </w:pPr>
    </w:p>
    <w:sectPr w:rsidR="00A56C89" w:rsidRPr="006F5C3F" w:rsidSect="00671E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2F5B"/>
    <w:multiLevelType w:val="hybridMultilevel"/>
    <w:tmpl w:val="7EA642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59F1"/>
    <w:multiLevelType w:val="hybridMultilevel"/>
    <w:tmpl w:val="E70C7F56"/>
    <w:lvl w:ilvl="0" w:tplc="21760C36">
      <w:start w:val="1"/>
      <w:numFmt w:val="decimal"/>
      <w:lvlText w:val="%1-"/>
      <w:lvlJc w:val="left"/>
      <w:pPr>
        <w:ind w:left="38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3" w:hanging="360"/>
      </w:pPr>
    </w:lvl>
    <w:lvl w:ilvl="2" w:tplc="0416001B" w:tentative="1">
      <w:start w:val="1"/>
      <w:numFmt w:val="lowerRoman"/>
      <w:lvlText w:val="%3."/>
      <w:lvlJc w:val="right"/>
      <w:pPr>
        <w:ind w:left="1823" w:hanging="180"/>
      </w:pPr>
    </w:lvl>
    <w:lvl w:ilvl="3" w:tplc="0416000F" w:tentative="1">
      <w:start w:val="1"/>
      <w:numFmt w:val="decimal"/>
      <w:lvlText w:val="%4."/>
      <w:lvlJc w:val="left"/>
      <w:pPr>
        <w:ind w:left="2543" w:hanging="360"/>
      </w:pPr>
    </w:lvl>
    <w:lvl w:ilvl="4" w:tplc="04160019" w:tentative="1">
      <w:start w:val="1"/>
      <w:numFmt w:val="lowerLetter"/>
      <w:lvlText w:val="%5."/>
      <w:lvlJc w:val="left"/>
      <w:pPr>
        <w:ind w:left="3263" w:hanging="360"/>
      </w:pPr>
    </w:lvl>
    <w:lvl w:ilvl="5" w:tplc="0416001B" w:tentative="1">
      <w:start w:val="1"/>
      <w:numFmt w:val="lowerRoman"/>
      <w:lvlText w:val="%6."/>
      <w:lvlJc w:val="right"/>
      <w:pPr>
        <w:ind w:left="3983" w:hanging="180"/>
      </w:pPr>
    </w:lvl>
    <w:lvl w:ilvl="6" w:tplc="0416000F" w:tentative="1">
      <w:start w:val="1"/>
      <w:numFmt w:val="decimal"/>
      <w:lvlText w:val="%7."/>
      <w:lvlJc w:val="left"/>
      <w:pPr>
        <w:ind w:left="4703" w:hanging="360"/>
      </w:pPr>
    </w:lvl>
    <w:lvl w:ilvl="7" w:tplc="04160019" w:tentative="1">
      <w:start w:val="1"/>
      <w:numFmt w:val="lowerLetter"/>
      <w:lvlText w:val="%8."/>
      <w:lvlJc w:val="left"/>
      <w:pPr>
        <w:ind w:left="5423" w:hanging="360"/>
      </w:pPr>
    </w:lvl>
    <w:lvl w:ilvl="8" w:tplc="0416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 w15:restartNumberingAfterBreak="0">
    <w:nsid w:val="389F6368"/>
    <w:multiLevelType w:val="hybridMultilevel"/>
    <w:tmpl w:val="3BE29FA2"/>
    <w:lvl w:ilvl="0" w:tplc="82B611E8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4ECC1FBE"/>
    <w:multiLevelType w:val="hybridMultilevel"/>
    <w:tmpl w:val="D8ACC5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B5163"/>
    <w:multiLevelType w:val="hybridMultilevel"/>
    <w:tmpl w:val="21A2CFE8"/>
    <w:lvl w:ilvl="0" w:tplc="04160017">
      <w:start w:val="5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697"/>
    <w:rsid w:val="00005C35"/>
    <w:rsid w:val="00007D73"/>
    <w:rsid w:val="00037ECD"/>
    <w:rsid w:val="000B1645"/>
    <w:rsid w:val="000B72EE"/>
    <w:rsid w:val="000D4F9A"/>
    <w:rsid w:val="000E70B0"/>
    <w:rsid w:val="00160344"/>
    <w:rsid w:val="001A746E"/>
    <w:rsid w:val="001D3AFA"/>
    <w:rsid w:val="002037EC"/>
    <w:rsid w:val="002326A9"/>
    <w:rsid w:val="002402A0"/>
    <w:rsid w:val="00277BF7"/>
    <w:rsid w:val="003236A6"/>
    <w:rsid w:val="00383A1E"/>
    <w:rsid w:val="00387E85"/>
    <w:rsid w:val="00436553"/>
    <w:rsid w:val="00447E07"/>
    <w:rsid w:val="004572B0"/>
    <w:rsid w:val="004F13BB"/>
    <w:rsid w:val="0055073E"/>
    <w:rsid w:val="00565988"/>
    <w:rsid w:val="005824DC"/>
    <w:rsid w:val="0058773B"/>
    <w:rsid w:val="00595C51"/>
    <w:rsid w:val="005D4F8A"/>
    <w:rsid w:val="00671E31"/>
    <w:rsid w:val="00673932"/>
    <w:rsid w:val="006B4BD5"/>
    <w:rsid w:val="006F5C3F"/>
    <w:rsid w:val="00710058"/>
    <w:rsid w:val="00772BBE"/>
    <w:rsid w:val="00783629"/>
    <w:rsid w:val="007C0197"/>
    <w:rsid w:val="007C3398"/>
    <w:rsid w:val="007D5ED4"/>
    <w:rsid w:val="007D77D0"/>
    <w:rsid w:val="007E20BE"/>
    <w:rsid w:val="007E3A62"/>
    <w:rsid w:val="007F1295"/>
    <w:rsid w:val="008C374E"/>
    <w:rsid w:val="008C4097"/>
    <w:rsid w:val="00913697"/>
    <w:rsid w:val="00924DC9"/>
    <w:rsid w:val="0092715E"/>
    <w:rsid w:val="009523DB"/>
    <w:rsid w:val="00953F0D"/>
    <w:rsid w:val="009825BF"/>
    <w:rsid w:val="009954DD"/>
    <w:rsid w:val="00A05606"/>
    <w:rsid w:val="00A56C89"/>
    <w:rsid w:val="00A60601"/>
    <w:rsid w:val="00A75FA8"/>
    <w:rsid w:val="00AA2CBB"/>
    <w:rsid w:val="00B103AA"/>
    <w:rsid w:val="00B97466"/>
    <w:rsid w:val="00BA3643"/>
    <w:rsid w:val="00BD64D1"/>
    <w:rsid w:val="00BE1A91"/>
    <w:rsid w:val="00C61831"/>
    <w:rsid w:val="00C77E0C"/>
    <w:rsid w:val="00C96D5B"/>
    <w:rsid w:val="00D255AE"/>
    <w:rsid w:val="00E3760E"/>
    <w:rsid w:val="00E8222A"/>
    <w:rsid w:val="00F40D9D"/>
    <w:rsid w:val="00FB5ED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491BA"/>
  <w15:docId w15:val="{DEC97E60-8D0C-4F08-8362-D2BD304B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1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60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60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13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3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FCB751014D04F8D067BF657426582" ma:contentTypeVersion="8" ma:contentTypeDescription="Crie um novo documento." ma:contentTypeScope="" ma:versionID="be639ad8425e2e429e9aeb5598f5d85f">
  <xsd:schema xmlns:xsd="http://www.w3.org/2001/XMLSchema" xmlns:xs="http://www.w3.org/2001/XMLSchema" xmlns:p="http://schemas.microsoft.com/office/2006/metadata/properties" xmlns:ns2="decab796-c3bb-4f71-8d26-028792b3d0d0" targetNamespace="http://schemas.microsoft.com/office/2006/metadata/properties" ma:root="true" ma:fieldsID="3800663191072b644ae198c70edf2c14" ns2:_="">
    <xsd:import namespace="decab796-c3bb-4f71-8d26-028792b3d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b796-c3bb-4f71-8d26-028792b3d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114F5-DBC9-476D-82C4-81CE84C57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cab796-c3bb-4f71-8d26-028792b3d0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0F83F8-37E3-43C3-8AE9-C8D392C4D2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4CF525-C967-4765-91EF-EC2A4176B5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B405D4-5237-429A-806C-7451008F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Yuji Tomanari</dc:creator>
  <cp:keywords/>
  <dc:description/>
  <cp:lastModifiedBy>VICTOR YUJI TOMANARI</cp:lastModifiedBy>
  <cp:revision>2</cp:revision>
  <cp:lastPrinted>2014-09-04T17:11:00Z</cp:lastPrinted>
  <dcterms:created xsi:type="dcterms:W3CDTF">2022-03-07T22:00:00Z</dcterms:created>
  <dcterms:modified xsi:type="dcterms:W3CDTF">2022-03-07T22:00:00Z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0x010100361FCB751014D04F8D067BF657426582</vt:lpwstr>
  </property>
</Properties>
</file>