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C82" w:rsidRDefault="00744EDA" w:rsidP="00744EDA">
      <w:pPr>
        <w:pStyle w:val="Heading2"/>
      </w:pPr>
      <w:r>
        <w:t>Human Long Term Memory:</w:t>
      </w:r>
    </w:p>
    <w:p w:rsidR="00744EDA" w:rsidRDefault="00744EDA" w:rsidP="00744EDA">
      <w:pPr>
        <w:pStyle w:val="Heading3"/>
      </w:pPr>
      <w:r>
        <w:t>Characteristic</w:t>
      </w:r>
    </w:p>
    <w:p w:rsidR="00744EDA" w:rsidRDefault="0063565C" w:rsidP="00744EDA">
      <w:r>
        <w:t>Contains mainly information that has been reinforced and will most likely never be forgotten.</w:t>
      </w:r>
    </w:p>
    <w:p w:rsidR="00744EDA" w:rsidRDefault="00744EDA" w:rsidP="00744EDA">
      <w:pPr>
        <w:pStyle w:val="Heading3"/>
      </w:pPr>
      <w:r>
        <w:t>Guideline</w:t>
      </w:r>
    </w:p>
    <w:p w:rsidR="00744EDA" w:rsidRDefault="0063565C" w:rsidP="00744EDA">
      <w:r>
        <w:t>Relate icons and current design with long-term memory to provide easier use and adoption.</w:t>
      </w:r>
    </w:p>
    <w:p w:rsidR="00744EDA" w:rsidRDefault="00744EDA" w:rsidP="00744EDA">
      <w:pPr>
        <w:pStyle w:val="Heading3"/>
      </w:pPr>
      <w:r>
        <w:t>Example</w:t>
      </w:r>
    </w:p>
    <w:p w:rsidR="00744EDA" w:rsidRDefault="006B5E15" w:rsidP="00744EDA">
      <w:r>
        <w:rPr>
          <w:noProof/>
        </w:rPr>
        <w:drawing>
          <wp:inline distT="0" distB="0" distL="0" distR="0">
            <wp:extent cx="985837" cy="985837"/>
            <wp:effectExtent l="0" t="0" r="5080" b="5080"/>
            <wp:docPr id="1" name="Picture 1" descr="Image result for recycle bi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cycle bin ic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3575" cy="993575"/>
                    </a:xfrm>
                    <a:prstGeom prst="rect">
                      <a:avLst/>
                    </a:prstGeom>
                    <a:noFill/>
                    <a:ln>
                      <a:noFill/>
                    </a:ln>
                  </pic:spPr>
                </pic:pic>
              </a:graphicData>
            </a:graphic>
          </wp:inline>
        </w:drawing>
      </w:r>
    </w:p>
    <w:p w:rsidR="006B5E15" w:rsidRPr="00744EDA" w:rsidRDefault="006B5E15" w:rsidP="00744EDA">
      <w:r>
        <w:t>The trash can/recycle bin is something that people have seen/used for many years so it is intuitive what to do with it.</w:t>
      </w:r>
    </w:p>
    <w:p w:rsidR="00744EDA" w:rsidRDefault="00744EDA" w:rsidP="00744EDA">
      <w:pPr>
        <w:pStyle w:val="Heading2"/>
      </w:pPr>
      <w:r>
        <w:t>Automatic Processing:</w:t>
      </w:r>
    </w:p>
    <w:p w:rsidR="00744EDA" w:rsidRDefault="00744EDA" w:rsidP="00744EDA">
      <w:pPr>
        <w:pStyle w:val="Heading3"/>
      </w:pPr>
      <w:r>
        <w:t>Characteristic</w:t>
      </w:r>
    </w:p>
    <w:p w:rsidR="00744EDA" w:rsidRDefault="00711052" w:rsidP="00744EDA">
      <w:r>
        <w:t>Actions that the user should find fast, easy, and require minimal effort</w:t>
      </w:r>
    </w:p>
    <w:p w:rsidR="00744EDA" w:rsidRDefault="00744EDA" w:rsidP="00744EDA">
      <w:pPr>
        <w:pStyle w:val="Heading3"/>
      </w:pPr>
      <w:r>
        <w:t>Guideline</w:t>
      </w:r>
    </w:p>
    <w:p w:rsidR="00744EDA" w:rsidRDefault="00711052" w:rsidP="00744EDA">
      <w:r>
        <w:t>Provide clear information to the user via design that reduces the need to think about other actions</w:t>
      </w:r>
    </w:p>
    <w:p w:rsidR="00744EDA" w:rsidRDefault="00744EDA" w:rsidP="00744EDA">
      <w:pPr>
        <w:pStyle w:val="Heading3"/>
      </w:pPr>
      <w:r>
        <w:t>Example</w:t>
      </w:r>
    </w:p>
    <w:p w:rsidR="00744EDA" w:rsidRDefault="00AC602F" w:rsidP="00744EDA">
      <w:pPr>
        <w:pStyle w:val="Heading2"/>
      </w:pPr>
      <w:r>
        <w:rPr>
          <w:noProof/>
        </w:rPr>
        <w:drawing>
          <wp:inline distT="0" distB="0" distL="0" distR="0">
            <wp:extent cx="995362" cy="995362"/>
            <wp:effectExtent l="0" t="0" r="0" b="0"/>
            <wp:docPr id="4" name="Picture 4" descr="Image result for downloa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ownload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7036" cy="997036"/>
                    </a:xfrm>
                    <a:prstGeom prst="rect">
                      <a:avLst/>
                    </a:prstGeom>
                    <a:noFill/>
                    <a:ln>
                      <a:noFill/>
                    </a:ln>
                  </pic:spPr>
                </pic:pic>
              </a:graphicData>
            </a:graphic>
          </wp:inline>
        </w:drawing>
      </w:r>
    </w:p>
    <w:p w:rsidR="000D62CC" w:rsidRPr="000D62CC" w:rsidRDefault="000D62CC" w:rsidP="000D62CC">
      <w:r>
        <w:t>The arrow going down into a file holder is a symbol that without thinking, people will assume that it goes into a folder for something</w:t>
      </w:r>
    </w:p>
    <w:p w:rsidR="00744EDA" w:rsidRDefault="00744EDA" w:rsidP="00744EDA">
      <w:pPr>
        <w:pStyle w:val="Heading2"/>
      </w:pPr>
      <w:r>
        <w:t>Affect/Emotion:</w:t>
      </w:r>
    </w:p>
    <w:p w:rsidR="00744EDA" w:rsidRDefault="00744EDA" w:rsidP="00744EDA">
      <w:pPr>
        <w:pStyle w:val="Heading3"/>
      </w:pPr>
      <w:r>
        <w:t>Characteristic</w:t>
      </w:r>
    </w:p>
    <w:p w:rsidR="00744EDA" w:rsidRDefault="00AB5563" w:rsidP="00744EDA">
      <w:r>
        <w:t>Responding to, and eliciting emotions from the user.</w:t>
      </w:r>
    </w:p>
    <w:p w:rsidR="00744EDA" w:rsidRDefault="00744EDA" w:rsidP="00744EDA">
      <w:pPr>
        <w:pStyle w:val="Heading3"/>
      </w:pPr>
      <w:r>
        <w:t>Guideline</w:t>
      </w:r>
    </w:p>
    <w:p w:rsidR="00744EDA" w:rsidRDefault="00AB5563" w:rsidP="00744EDA">
      <w:r>
        <w:t>Be careful when designing to focus on eliciting only the emotions from the user we want.</w:t>
      </w:r>
    </w:p>
    <w:p w:rsidR="00744EDA" w:rsidRDefault="00744EDA" w:rsidP="00744EDA">
      <w:pPr>
        <w:pStyle w:val="Heading3"/>
      </w:pPr>
      <w:r>
        <w:lastRenderedPageBreak/>
        <w:t>Example</w:t>
      </w:r>
    </w:p>
    <w:p w:rsidR="00744EDA" w:rsidRDefault="00AC602F" w:rsidP="00744EDA">
      <w:pPr>
        <w:pStyle w:val="Heading2"/>
      </w:pPr>
      <w:r>
        <w:rPr>
          <w:noProof/>
        </w:rPr>
        <w:drawing>
          <wp:inline distT="0" distB="0" distL="0" distR="0">
            <wp:extent cx="2881313" cy="931625"/>
            <wp:effectExtent l="0" t="0" r="0" b="1905"/>
            <wp:docPr id="5" name="Picture 5" descr="Image result for pain chart with 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pain chart with fa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594" cy="946266"/>
                    </a:xfrm>
                    <a:prstGeom prst="rect">
                      <a:avLst/>
                    </a:prstGeom>
                    <a:noFill/>
                    <a:ln>
                      <a:noFill/>
                    </a:ln>
                  </pic:spPr>
                </pic:pic>
              </a:graphicData>
            </a:graphic>
          </wp:inline>
        </w:drawing>
      </w:r>
    </w:p>
    <w:p w:rsidR="000D62CC" w:rsidRPr="000D62CC" w:rsidRDefault="000D62CC" w:rsidP="000D62CC">
      <w:r>
        <w:t>Each level of pain corresponds to a face that is showing emotion a user can relate to.</w:t>
      </w:r>
    </w:p>
    <w:p w:rsidR="00744EDA" w:rsidRDefault="00744EDA" w:rsidP="00744EDA">
      <w:pPr>
        <w:pStyle w:val="Heading2"/>
      </w:pPr>
      <w:r>
        <w:t>Social Interaction:</w:t>
      </w:r>
    </w:p>
    <w:p w:rsidR="00744EDA" w:rsidRDefault="00744EDA" w:rsidP="00744EDA">
      <w:pPr>
        <w:pStyle w:val="Heading3"/>
      </w:pPr>
      <w:r>
        <w:t>Characteristic</w:t>
      </w:r>
    </w:p>
    <w:p w:rsidR="00744EDA" w:rsidRDefault="00AB5563" w:rsidP="00744EDA">
      <w:r>
        <w:t>People interacting, either digitally or physically.</w:t>
      </w:r>
    </w:p>
    <w:p w:rsidR="00744EDA" w:rsidRDefault="00744EDA" w:rsidP="00744EDA">
      <w:pPr>
        <w:pStyle w:val="Heading3"/>
      </w:pPr>
      <w:r>
        <w:t>Guideline</w:t>
      </w:r>
    </w:p>
    <w:p w:rsidR="00744EDA" w:rsidRDefault="00AB5563" w:rsidP="00744EDA">
      <w:r>
        <w:t>Keep interactions simple, as fluid as possible</w:t>
      </w:r>
    </w:p>
    <w:p w:rsidR="00744EDA" w:rsidRDefault="00744EDA" w:rsidP="006B5E15">
      <w:pPr>
        <w:pStyle w:val="Heading3"/>
      </w:pPr>
      <w:r>
        <w:t>Example</w:t>
      </w:r>
    </w:p>
    <w:p w:rsidR="006B5E15" w:rsidRDefault="006B5E15" w:rsidP="006B5E15">
      <w:r>
        <w:rPr>
          <w:noProof/>
        </w:rPr>
        <w:drawing>
          <wp:inline distT="0" distB="0" distL="0" distR="0">
            <wp:extent cx="1252538" cy="1252538"/>
            <wp:effectExtent l="0" t="0" r="5080" b="5080"/>
            <wp:docPr id="3" name="Picture 3" descr="Image result for cha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hat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5574" cy="1255574"/>
                    </a:xfrm>
                    <a:prstGeom prst="rect">
                      <a:avLst/>
                    </a:prstGeom>
                    <a:noFill/>
                    <a:ln>
                      <a:noFill/>
                    </a:ln>
                  </pic:spPr>
                </pic:pic>
              </a:graphicData>
            </a:graphic>
          </wp:inline>
        </w:drawing>
      </w:r>
    </w:p>
    <w:p w:rsidR="000D62CC" w:rsidRPr="006B5E15" w:rsidRDefault="000D62CC" w:rsidP="006B5E15">
      <w:r>
        <w:t>Chat bubbles like this shows two people having a conversation, which means that you’ll automatically be talking to someone else.</w:t>
      </w:r>
    </w:p>
    <w:p w:rsidR="00744EDA" w:rsidRDefault="00744EDA" w:rsidP="00744EDA">
      <w:pPr>
        <w:pStyle w:val="Heading2"/>
      </w:pPr>
      <w:r>
        <w:t>Cultural Differences:</w:t>
      </w:r>
    </w:p>
    <w:p w:rsidR="00744EDA" w:rsidRDefault="00744EDA" w:rsidP="00744EDA">
      <w:pPr>
        <w:pStyle w:val="Heading3"/>
      </w:pPr>
      <w:r>
        <w:t>Characteristic</w:t>
      </w:r>
    </w:p>
    <w:p w:rsidR="00744EDA" w:rsidRDefault="008678C0" w:rsidP="00744EDA">
      <w:r>
        <w:t>This primarily relates to the differences that other cultures might have with the creators.</w:t>
      </w:r>
    </w:p>
    <w:p w:rsidR="00744EDA" w:rsidRDefault="00744EDA" w:rsidP="00744EDA">
      <w:pPr>
        <w:pStyle w:val="Heading3"/>
      </w:pPr>
      <w:r>
        <w:t>Guideline</w:t>
      </w:r>
    </w:p>
    <w:p w:rsidR="00744EDA" w:rsidRDefault="008678C0" w:rsidP="00744EDA">
      <w:r>
        <w:t>Examine the locale where the product will the distributed, and adjust accordingly.</w:t>
      </w:r>
    </w:p>
    <w:p w:rsidR="00744EDA" w:rsidRDefault="00744EDA" w:rsidP="00744EDA">
      <w:pPr>
        <w:pStyle w:val="Heading3"/>
      </w:pPr>
      <w:r>
        <w:t>Example</w:t>
      </w:r>
    </w:p>
    <w:p w:rsidR="00744EDA" w:rsidRDefault="000D62CC" w:rsidP="00744EDA">
      <w:pPr>
        <w:pStyle w:val="Heading2"/>
      </w:pPr>
      <w:r>
        <w:rPr>
          <w:noProof/>
        </w:rPr>
        <w:drawing>
          <wp:inline distT="0" distB="0" distL="0" distR="0">
            <wp:extent cx="1133475" cy="1133475"/>
            <wp:effectExtent l="0" t="0" r="9525" b="9525"/>
            <wp:docPr id="7" name="Picture 7" descr="Image result for japanese ye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japanese yen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801" cy="1135801"/>
                    </a:xfrm>
                    <a:prstGeom prst="rect">
                      <a:avLst/>
                    </a:prstGeom>
                    <a:noFill/>
                    <a:ln>
                      <a:noFill/>
                    </a:ln>
                  </pic:spPr>
                </pic:pic>
              </a:graphicData>
            </a:graphic>
          </wp:inline>
        </w:drawing>
      </w:r>
    </w:p>
    <w:p w:rsidR="000D62CC" w:rsidRPr="000D62CC" w:rsidRDefault="000D62CC" w:rsidP="000D62CC">
      <w:r>
        <w:t>Since that Japanese don’t use US Dollars as their currency it doesn’t make any sense to provide details on pricing in USD, so automatically adjusting it to the current locations currency makes sense.</w:t>
      </w:r>
    </w:p>
    <w:p w:rsidR="00744EDA" w:rsidRDefault="00744EDA" w:rsidP="00744EDA">
      <w:pPr>
        <w:pStyle w:val="Heading2"/>
      </w:pPr>
      <w:r>
        <w:lastRenderedPageBreak/>
        <w:t>Gestalt Laws of Perceptual Organization:</w:t>
      </w:r>
    </w:p>
    <w:p w:rsidR="00744EDA" w:rsidRDefault="00744EDA" w:rsidP="00744EDA">
      <w:pPr>
        <w:pStyle w:val="Heading3"/>
      </w:pPr>
      <w:r>
        <w:t>Characteristic</w:t>
      </w:r>
    </w:p>
    <w:p w:rsidR="00744EDA" w:rsidRDefault="00983A08" w:rsidP="00744EDA">
      <w:r>
        <w:t>A group of laws containing; proximity, continuity, similarity, and closure.</w:t>
      </w:r>
    </w:p>
    <w:p w:rsidR="00744EDA" w:rsidRDefault="00744EDA" w:rsidP="00744EDA">
      <w:pPr>
        <w:pStyle w:val="Heading3"/>
      </w:pPr>
      <w:r>
        <w:t>Guideline</w:t>
      </w:r>
    </w:p>
    <w:p w:rsidR="00744EDA" w:rsidRDefault="00983A08" w:rsidP="00744EDA">
      <w:r>
        <w:t xml:space="preserve">Display related items together.  Also make like items similar, while unlike items dissimilar. </w:t>
      </w:r>
    </w:p>
    <w:p w:rsidR="00744EDA" w:rsidRDefault="00744EDA" w:rsidP="00744EDA">
      <w:pPr>
        <w:pStyle w:val="Heading3"/>
      </w:pPr>
      <w:r>
        <w:t>Example</w:t>
      </w:r>
    </w:p>
    <w:p w:rsidR="00744EDA" w:rsidRDefault="000D62CC" w:rsidP="00744EDA">
      <w:r>
        <w:rPr>
          <w:noProof/>
        </w:rPr>
        <w:drawing>
          <wp:inline distT="0" distB="0" distL="0" distR="0" wp14:anchorId="67888AF5" wp14:editId="7B216AE3">
            <wp:extent cx="2028825" cy="23853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5636" cy="2440424"/>
                    </a:xfrm>
                    <a:prstGeom prst="rect">
                      <a:avLst/>
                    </a:prstGeom>
                  </pic:spPr>
                </pic:pic>
              </a:graphicData>
            </a:graphic>
          </wp:inline>
        </w:drawing>
      </w:r>
    </w:p>
    <w:p w:rsidR="000D62CC" w:rsidRPr="00744EDA" w:rsidRDefault="000D62CC" w:rsidP="00744EDA">
      <w:r>
        <w:t>Here multiple RPG’s are grouped together, with various ways to sort them.</w:t>
      </w:r>
      <w:bookmarkStart w:id="0" w:name="_GoBack"/>
      <w:bookmarkEnd w:id="0"/>
    </w:p>
    <w:sectPr w:rsidR="000D62CC" w:rsidRPr="00744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DA"/>
    <w:rsid w:val="000D62CC"/>
    <w:rsid w:val="0063565C"/>
    <w:rsid w:val="006B5E15"/>
    <w:rsid w:val="00711052"/>
    <w:rsid w:val="00744EDA"/>
    <w:rsid w:val="008678C0"/>
    <w:rsid w:val="00983A08"/>
    <w:rsid w:val="00AB5563"/>
    <w:rsid w:val="00AC602F"/>
    <w:rsid w:val="00F2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2D335-EAE2-42B9-B24D-C41541E3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44E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4E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EDA"/>
    <w:pPr>
      <w:ind w:left="720"/>
      <w:contextualSpacing/>
    </w:pPr>
  </w:style>
  <w:style w:type="character" w:customStyle="1" w:styleId="Heading2Char">
    <w:name w:val="Heading 2 Char"/>
    <w:basedOn w:val="DefaultParagraphFont"/>
    <w:link w:val="Heading2"/>
    <w:uiPriority w:val="9"/>
    <w:rsid w:val="00744E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4ED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4</cp:revision>
  <dcterms:created xsi:type="dcterms:W3CDTF">2019-06-01T01:12:00Z</dcterms:created>
  <dcterms:modified xsi:type="dcterms:W3CDTF">2019-06-01T02:58:00Z</dcterms:modified>
</cp:coreProperties>
</file>