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CSS360:</w:t>
        <w:tab/>
        <w:tab/>
        <w:t xml:space="preserve">System Comparison and SDLC Interests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20" w:lineRule="auto"/>
        <w:ind w:left="1080" w:hanging="1080"/>
        <w:rPr>
          <w:b w:val="1"/>
        </w:rPr>
      </w:pPr>
      <w:r w:rsidDel="00000000" w:rsidR="00000000" w:rsidRPr="00000000">
        <w:rPr>
          <w:b w:val="1"/>
          <w:rtl w:val="0"/>
        </w:rPr>
        <w:t xml:space="preserve">Note:</w:t>
        <w:tab/>
        <w:t xml:space="preserve">This is a group assignment. Only one submission is required through Canvas.</w:t>
      </w:r>
    </w:p>
    <w:p w:rsidR="00000000" w:rsidDel="00000000" w:rsidP="00000000" w:rsidRDefault="00000000" w:rsidRPr="00000000" w14:paraId="00000004">
      <w:pPr>
        <w:spacing w:after="120" w:lineRule="auto"/>
        <w:rPr>
          <w:b w:val="1"/>
        </w:rPr>
      </w:pPr>
      <w:r w:rsidDel="00000000" w:rsidR="00000000" w:rsidRPr="00000000">
        <w:rPr>
          <w:b w:val="1"/>
          <w:rtl w:val="0"/>
        </w:rPr>
        <w:t xml:space="preserve">Group Name:</w:t>
        <w:tab/>
        <w:t xml:space="preserve">CSS360</w:t>
        <w:tab/>
      </w:r>
    </w:p>
    <w:p w:rsidR="00000000" w:rsidDel="00000000" w:rsidP="00000000" w:rsidRDefault="00000000" w:rsidRPr="00000000" w14:paraId="00000005">
      <w:pPr>
        <w:spacing w:after="60" w:lineRule="auto"/>
        <w:rPr>
          <w:b w:val="1"/>
        </w:rPr>
      </w:pPr>
      <w:r w:rsidDel="00000000" w:rsidR="00000000" w:rsidRPr="00000000">
        <w:rPr>
          <w:b w:val="1"/>
          <w:rtl w:val="0"/>
        </w:rPr>
        <w:t xml:space="preserve">Members:</w:t>
        <w:tab/>
        <w:tab/>
        <w:tab/>
        <w:t xml:space="preserve">Last Name, First Name</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Borhani, Borna</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Latchague,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Hadassah</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Eyler, Taylor</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Dycaico,</w:t>
      </w:r>
      <w:r w:rsidDel="00000000" w:rsidR="00000000" w:rsidRPr="00000000">
        <w:rPr>
          <w:rtl w:val="0"/>
        </w:rPr>
        <w:t xml:space="preserve"> Jonathan</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Khabazan, Behnam</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Smith-Dalrymple, Gabriel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spacing w:after="120" w:lineRule="auto"/>
        <w:rPr>
          <w:b w:val="1"/>
        </w:rPr>
      </w:pPr>
      <w:r w:rsidDel="00000000" w:rsidR="00000000" w:rsidRPr="00000000">
        <w:rPr>
          <w:b w:val="1"/>
          <w:rtl w:val="0"/>
        </w:rPr>
        <w:t xml:space="preserve">Description:</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iLearn vs. Canvas - A Digital Learning Environment for Schools</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Section 1.3.4 (A Digital Learning Environment for Schools) on Sommerville pp.24-25.</w:t>
      </w:r>
      <w:r w:rsidDel="00000000" w:rsidR="00000000" w:rsidRPr="00000000">
        <w:rPr>
          <w:rtl w:val="0"/>
        </w:rPr>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and contrast this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iLearn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with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UW Canvas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(i.e. identify and describe 3 similarities and 3 differences between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iLearn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UW Canvas)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Similarities</w:t>
      </w:r>
    </w:p>
    <w:p w:rsidR="00000000" w:rsidDel="00000000" w:rsidP="00000000" w:rsidRDefault="00000000" w:rsidRPr="00000000" w14:paraId="000000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Differences</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the visual diagram of the UW Canvas architecture, in a similar form given in Sommerville Figure 1.8.</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SDLC Model Interests</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 of 13 presented in the class,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 3 SDLC models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order of priority) that your group is interested in for your product or service.  Choose based on methods you expect are being used by your adopted company, esp. given their culture.  But also based on what could make sense given your product or service invention.  Note that your choices aren’t final, and I expect you to evolve them as you understand your company more and as you work through the product/service architecture.</w:t>
      </w: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pPr>
      <w:bookmarkStart w:colFirst="0" w:colLast="0" w:name="_pedlwvvank7m" w:id="1"/>
      <w:bookmarkEnd w:id="1"/>
      <w:r w:rsidDel="00000000" w:rsidR="00000000" w:rsidRPr="00000000">
        <w:rPr>
          <w:rtl w:val="0"/>
        </w:rPr>
        <w:t xml:space="preserve">iLearn vs. Canvas - A Digital Learning Environment for Schools:</w:t>
      </w:r>
    </w:p>
    <w:p w:rsidR="00000000" w:rsidDel="00000000" w:rsidP="00000000" w:rsidRDefault="00000000" w:rsidRPr="00000000" w14:paraId="00000018">
      <w:pPr>
        <w:rPr>
          <w:b w:val="1"/>
        </w:rPr>
      </w:pPr>
      <w:r w:rsidDel="00000000" w:rsidR="00000000" w:rsidRPr="00000000">
        <w:rPr>
          <w:b w:val="1"/>
          <w:rtl w:val="0"/>
        </w:rPr>
        <w:t xml:space="preserve">Similarities:</w:t>
      </w:r>
    </w:p>
    <w:p w:rsidR="00000000" w:rsidDel="00000000" w:rsidP="00000000" w:rsidRDefault="00000000" w:rsidRPr="00000000" w14:paraId="00000019">
      <w:pPr>
        <w:numPr>
          <w:ilvl w:val="0"/>
          <w:numId w:val="2"/>
        </w:numPr>
        <w:ind w:left="720" w:hanging="360"/>
        <w:rPr>
          <w:i w:val="1"/>
        </w:rPr>
      </w:pPr>
      <w:r w:rsidDel="00000000" w:rsidR="00000000" w:rsidRPr="00000000">
        <w:rPr>
          <w:i w:val="1"/>
          <w:rtl w:val="0"/>
        </w:rPr>
        <w:t xml:space="preserve">Both iLearn and CANVAS are virtual learning environments</w:t>
      </w:r>
    </w:p>
    <w:p w:rsidR="00000000" w:rsidDel="00000000" w:rsidP="00000000" w:rsidRDefault="00000000" w:rsidRPr="00000000" w14:paraId="0000001A">
      <w:pPr>
        <w:numPr>
          <w:ilvl w:val="0"/>
          <w:numId w:val="2"/>
        </w:numPr>
        <w:ind w:left="720" w:hanging="360"/>
        <w:rPr>
          <w:i w:val="1"/>
        </w:rPr>
      </w:pPr>
      <w:r w:rsidDel="00000000" w:rsidR="00000000" w:rsidRPr="00000000">
        <w:rPr>
          <w:i w:val="1"/>
          <w:rtl w:val="0"/>
        </w:rPr>
        <w:t xml:space="preserve">Educational web and app interface designed to deliver course content to students</w:t>
      </w:r>
      <w:r w:rsidDel="00000000" w:rsidR="00000000" w:rsidRPr="00000000">
        <w:rPr>
          <w:rtl w:val="0"/>
        </w:rPr>
      </w:r>
    </w:p>
    <w:p w:rsidR="00000000" w:rsidDel="00000000" w:rsidP="00000000" w:rsidRDefault="00000000" w:rsidRPr="00000000" w14:paraId="0000001B">
      <w:pPr>
        <w:numPr>
          <w:ilvl w:val="0"/>
          <w:numId w:val="2"/>
        </w:numPr>
        <w:ind w:left="720" w:hanging="360"/>
        <w:rPr/>
      </w:pPr>
      <w:r w:rsidDel="00000000" w:rsidR="00000000" w:rsidRPr="00000000">
        <w:rPr>
          <w:i w:val="1"/>
          <w:rtl w:val="0"/>
        </w:rPr>
        <w:t xml:space="preserve">Both can be accessed anywhere with a connection to the Internet</w:t>
        <w:tab/>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Differences:</w:t>
      </w:r>
    </w:p>
    <w:p w:rsidR="00000000" w:rsidDel="00000000" w:rsidP="00000000" w:rsidRDefault="00000000" w:rsidRPr="00000000" w14:paraId="0000001D">
      <w:pPr>
        <w:numPr>
          <w:ilvl w:val="0"/>
          <w:numId w:val="5"/>
        </w:numPr>
        <w:ind w:left="720" w:hanging="360"/>
      </w:pPr>
      <w:r w:rsidDel="00000000" w:rsidR="00000000" w:rsidRPr="00000000">
        <w:rPr>
          <w:i w:val="1"/>
          <w:rtl w:val="0"/>
        </w:rPr>
        <w:t xml:space="preserve">iLearn is geared for people ages 3-18; Canvas is more geared to students in the college setting that are 18+</w:t>
      </w:r>
      <w:r w:rsidDel="00000000" w:rsidR="00000000" w:rsidRPr="00000000">
        <w:rPr>
          <w:rtl w:val="0"/>
        </w:rPr>
      </w:r>
    </w:p>
    <w:p w:rsidR="00000000" w:rsidDel="00000000" w:rsidP="00000000" w:rsidRDefault="00000000" w:rsidRPr="00000000" w14:paraId="0000001E">
      <w:pPr>
        <w:numPr>
          <w:ilvl w:val="0"/>
          <w:numId w:val="5"/>
        </w:numPr>
        <w:ind w:left="720" w:hanging="360"/>
      </w:pPr>
      <w:r w:rsidDel="00000000" w:rsidR="00000000" w:rsidRPr="00000000">
        <w:rPr>
          <w:i w:val="1"/>
          <w:rtl w:val="0"/>
        </w:rPr>
        <w:t xml:space="preserve">iLearn provides general educational resources beyond what is provided by the instructor</w:t>
      </w:r>
      <w:r w:rsidDel="00000000" w:rsidR="00000000" w:rsidRPr="00000000">
        <w:rPr>
          <w:rtl w:val="0"/>
        </w:rPr>
      </w:r>
    </w:p>
    <w:p w:rsidR="00000000" w:rsidDel="00000000" w:rsidP="00000000" w:rsidRDefault="00000000" w:rsidRPr="00000000" w14:paraId="0000001F">
      <w:pPr>
        <w:numPr>
          <w:ilvl w:val="0"/>
          <w:numId w:val="5"/>
        </w:numPr>
        <w:ind w:left="720" w:hanging="360"/>
      </w:pPr>
      <w:r w:rsidDel="00000000" w:rsidR="00000000" w:rsidRPr="00000000">
        <w:rPr>
          <w:i w:val="1"/>
          <w:rtl w:val="0"/>
        </w:rPr>
        <w:t xml:space="preserve">iLearn provides built-in word processing and spreadsheet support natively</w:t>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Visual Diagram:</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jc w:val="center"/>
        <w:rPr>
          <w:b w:val="1"/>
          <w:sz w:val="26"/>
          <w:szCs w:val="26"/>
        </w:rPr>
      </w:pPr>
      <w:r w:rsidDel="00000000" w:rsidR="00000000" w:rsidRPr="00000000">
        <w:rPr>
          <w:b w:val="1"/>
          <w:sz w:val="26"/>
          <w:szCs w:val="26"/>
          <w:rtl w:val="0"/>
        </w:rPr>
        <w:t xml:space="preserve">CANVAS Architectural Model</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Browser-based user interface                             CANVAS app</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Configuration Services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Group Management               Application Management                   Identity Management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Application Services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Email          Messaging        Text editor        File Archive        Panopto</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Calendar        Quizzes and tests        Library resource finder        Collaboration tools</w:t>
            </w:r>
          </w:p>
          <w:p w:rsidR="00000000" w:rsidDel="00000000" w:rsidP="00000000" w:rsidRDefault="00000000" w:rsidRPr="00000000" w14:paraId="0000002D">
            <w:pPr>
              <w:widowControl w:val="0"/>
              <w:jc w:val="center"/>
              <w:rPr/>
            </w:pPr>
            <w:r w:rsidDel="00000000" w:rsidR="00000000" w:rsidRPr="00000000">
              <w:rPr>
                <w:rtl w:val="0"/>
              </w:rPr>
              <w:t xml:space="preserve">Course syllabus planning        Grades overview        Forums        Help</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Utility Services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Authentication          Logging and monitoring           Interfacing             User storage</w:t>
            </w:r>
          </w:p>
        </w:tc>
      </w:tr>
    </w:tbl>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2"/>
        <w:rPr/>
      </w:pPr>
      <w:bookmarkStart w:colFirst="0" w:colLast="0" w:name="_8hib3fh3l381" w:id="2"/>
      <w:bookmarkEnd w:id="2"/>
      <w:r w:rsidDel="00000000" w:rsidR="00000000" w:rsidRPr="00000000">
        <w:rPr>
          <w:rtl w:val="0"/>
        </w:rPr>
        <w:t xml:space="preserve">SDLC Model Interests:</w:t>
      </w:r>
    </w:p>
    <w:p w:rsidR="00000000" w:rsidDel="00000000" w:rsidP="00000000" w:rsidRDefault="00000000" w:rsidRPr="00000000" w14:paraId="00000035">
      <w:pPr>
        <w:rPr>
          <w:b w:val="1"/>
        </w:rPr>
      </w:pPr>
      <w:r w:rsidDel="00000000" w:rsidR="00000000" w:rsidRPr="00000000">
        <w:rPr>
          <w:b w:val="1"/>
          <w:rtl w:val="0"/>
        </w:rPr>
        <w:t xml:space="preserve">3 SDLC models (in order of priority):</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Scrum</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Lean</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Plan-driven incremental development</w:t>
      </w:r>
      <w:r w:rsidDel="00000000" w:rsidR="00000000" w:rsidRPr="00000000">
        <w:rPr>
          <w:rtl w:val="0"/>
        </w:rPr>
      </w:r>
    </w:p>
    <w:sectPr>
      <w:headerReference r:id="rId6" w:type="default"/>
      <w:footerReference r:id="rId7" w:type="default"/>
      <w:footerReference r:id="rId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CSS, University of Washington, Bothell</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