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2395B"/>
          <w:sz w:val="40"/>
          <w:szCs w:val="40"/>
        </w:rPr>
        <w:t xml:space="preserve">Vendas do Bot — LATAM</w:t>
      </w:r>
    </w:p>
    <w:p>
      <w:pPr>
        <w:pBdr>
          <w:bottom w:val="single" w:color="12395B" w:sz="6" w:space="8"/>
        </w:pBdr>
        <w:spacing w:after="80"/>
      </w:pPr>
      <w:r>
        <w:rPr>
          <w:rFonts w:ascii="Calibri" w:cs="Calibri" w:eastAsia="Calibri" w:hAnsi="Calibri"/>
          <w:color w:val="6B7480"/>
          <w:sz w:val="18"/>
          <w:szCs w:val="18"/>
        </w:rPr>
        <w:t xml:space="preserve">Lançamento LATIA05  ·  carrinho aberto de 15 a 21 de julho de 2026  ·  Oneinfinite, Guru e Hotmart</w:t>
      </w:r>
    </w:p>
    <w:p>
      <w:pPr>
        <w:spacing w:after="120"/>
      </w:pPr>
      <w:r>
        <w:t xml:space="preserve"/>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shd w:fill="EAF1F8" w:color="auto" w:val="clear"/>
            <w:tcMar>
              <w:top w:type="dxa" w:w="190"/>
              <w:left w:type="dxa" w:w="230"/>
              <w:bottom w:type="dxa" w:w="190"/>
              <w:right w:type="dxa" w:w="115"/>
            </w:tcMar>
          </w:tcPr>
          <w:p>
            <w:pPr>
              <w:spacing w:after="20"/>
            </w:pPr>
            <w:r>
              <w:rPr>
                <w:rFonts w:ascii="Calibri" w:cs="Calibri" w:eastAsia="Calibri" w:hAnsi="Calibri"/>
                <w:b/>
                <w:bCs/>
                <w:color w:val="12395B"/>
                <w:sz w:val="64"/>
                <w:szCs w:val="64"/>
              </w:rPr>
              <w:t xml:space="preserve">123</w:t>
            </w:r>
          </w:p>
          <w:p>
            <w:r>
              <w:rPr>
                <w:rFonts w:ascii="Calibri" w:cs="Calibri" w:eastAsia="Calibri" w:hAnsi="Calibri"/>
                <w:color w:val="1A1A1A"/>
                <w:sz w:val="19"/>
                <w:szCs w:val="19"/>
              </w:rPr>
              <w:t xml:space="preserve">vendas novas fechadas pelo bot</w:t>
            </w:r>
          </w:p>
        </w:tc>
        <w:tc>
          <w:tcPr>
            <w:tcW w:type="dxa" w:w="4513"/>
            <w:shd w:fill="EAF1F8" w:color="auto" w:val="clear"/>
            <w:tcMar>
              <w:top w:type="dxa" w:w="190"/>
              <w:left w:type="dxa" w:w="115"/>
              <w:bottom w:type="dxa" w:w="190"/>
              <w:right w:type="dxa" w:w="230"/>
            </w:tcMar>
          </w:tcPr>
          <w:p>
            <w:pPr>
              <w:spacing w:after="0"/>
            </w:pPr>
            <w:r>
              <w:rPr>
                <w:rFonts w:ascii="Calibri" w:cs="Calibri" w:eastAsia="Calibri" w:hAnsi="Calibri"/>
                <w:b/>
                <w:bCs/>
                <w:color w:val="12395B"/>
                <w:sz w:val="34"/>
                <w:szCs w:val="34"/>
              </w:rPr>
              <w:t xml:space="preserve">US$ 14.487,88</w:t>
            </w:r>
          </w:p>
          <w:p>
            <w:pPr>
              <w:spacing w:after="20"/>
            </w:pPr>
            <w:r>
              <w:rPr>
                <w:rFonts w:ascii="Calibri" w:cs="Calibri" w:eastAsia="Calibri" w:hAnsi="Calibri"/>
                <w:b/>
                <w:bCs/>
                <w:color w:val="12395B"/>
                <w:sz w:val="34"/>
                <w:szCs w:val="34"/>
              </w:rPr>
              <w:t xml:space="preserve">+ R$ 17.000,00</w:t>
            </w:r>
          </w:p>
          <w:p>
            <w:r>
              <w:rPr>
                <w:rFonts w:ascii="Calibri" w:cs="Calibri" w:eastAsia="Calibri" w:hAnsi="Calibri"/>
                <w:color w:val="1A1A1A"/>
                <w:sz w:val="19"/>
                <w:szCs w:val="19"/>
              </w:rPr>
              <w:t xml:space="preserve">faturamento bruto dessas vendas</w:t>
            </w:r>
          </w:p>
        </w:tc>
      </w:tr>
    </w:tbl>
    <w:p>
      <w:pPr>
        <w:spacing w:after="40" w:before="160"/>
      </w:pPr>
      <w:r>
        <w:rPr>
          <w:rFonts w:ascii="Calibri" w:cs="Calibri" w:eastAsia="Calibri" w:hAnsi="Calibri"/>
          <w:i w:val="false"/>
          <w:iCs w:val="false"/>
          <w:color w:val="1A1A1A"/>
          <w:sz w:val="19"/>
          <w:szCs w:val="19"/>
        </w:rPr>
        <w:t xml:space="preserve">Vendas novas geradas pelo bot na operação LATAM durante o carrinho aberto do LATIA05. Cada base foi filtrada por três critérios: identificador do bot, data da venda dentro do carrinho e exclusão de cobranças de parcelas de edições anteriores.</w:t>
      </w:r>
    </w:p>
    <w:p>
      <w:pPr>
        <w:spacing w:after="120" w:before="300"/>
      </w:pPr>
      <w:r>
        <w:rPr>
          <w:rFonts w:ascii="Calibri" w:cs="Calibri" w:eastAsia="Calibri" w:hAnsi="Calibri"/>
          <w:b/>
          <w:bCs/>
          <w:color w:val="12395B"/>
          <w:sz w:val="24"/>
          <w:szCs w:val="24"/>
        </w:rPr>
        <w:t xml:space="preserve">Resumo por plataforma</w:t>
      </w:r>
    </w:p>
    <w:tbl>
      <w:tblPr>
        <w:tblW w:type="dxa" w:w="9026"/>
        <w:tblBorders>
          <w:top w:val="single" w:color="D6DEE7" w:sz="4"/>
          <w:left w:val="single" w:color="D6DEE7" w:sz="4"/>
          <w:bottom w:val="single" w:color="D6DEE7" w:sz="4"/>
          <w:right w:val="single" w:color="D6DEE7" w:sz="4"/>
          <w:insideH w:val="single" w:color="D6DEE7" w:sz="4"/>
          <w:insideV w:val="single" w:color="D6DEE7" w:sz="4"/>
        </w:tblBorders>
      </w:tblPr>
      <w:tblGrid>
        <w:gridCol w:w="1900"/>
        <w:gridCol w:w="2900"/>
        <w:gridCol w:w="1300"/>
        <w:gridCol w:w="2926"/>
      </w:tblGrid>
      <w:tr>
        <w:trPr>
          <w:tblHeader/>
        </w:trPr>
        <w:tc>
          <w:tcPr>
            <w:tcW w:type="dxa" w:w="1900"/>
            <w:shd w:fill="12395B" w:color="auto" w:val="clear"/>
            <w:tcMar>
              <w:top w:type="dxa" w:w="75"/>
              <w:left w:type="dxa" w:w="115"/>
              <w:bottom w:type="dxa" w:w="75"/>
              <w:right w:type="dxa" w:w="115"/>
            </w:tcMar>
            <w:vAlign w:val="center"/>
          </w:tcPr>
          <w:p>
            <w:pPr>
              <w:jc w:val="left"/>
            </w:pPr>
            <w:r>
              <w:rPr>
                <w:rFonts w:ascii="Calibri" w:cs="Calibri" w:eastAsia="Calibri" w:hAnsi="Calibri"/>
                <w:b/>
                <w:bCs/>
                <w:color w:val="FFFFFF"/>
                <w:sz w:val="19"/>
                <w:szCs w:val="19"/>
              </w:rPr>
              <w:t xml:space="preserve">Plataforma</w:t>
            </w:r>
          </w:p>
        </w:tc>
        <w:tc>
          <w:tcPr>
            <w:tcW w:type="dxa" w:w="2900"/>
            <w:shd w:fill="12395B" w:color="auto" w:val="clear"/>
            <w:tcMar>
              <w:top w:type="dxa" w:w="75"/>
              <w:left w:type="dxa" w:w="115"/>
              <w:bottom w:type="dxa" w:w="75"/>
              <w:right w:type="dxa" w:w="115"/>
            </w:tcMar>
            <w:vAlign w:val="center"/>
          </w:tcPr>
          <w:p>
            <w:pPr>
              <w:jc w:val="left"/>
            </w:pPr>
            <w:r>
              <w:rPr>
                <w:rFonts w:ascii="Calibri" w:cs="Calibri" w:eastAsia="Calibri" w:hAnsi="Calibri"/>
                <w:b/>
                <w:bCs/>
                <w:color w:val="FFFFFF"/>
                <w:sz w:val="19"/>
                <w:szCs w:val="19"/>
              </w:rPr>
              <w:t xml:space="preserve">Identificador do bot</w:t>
            </w:r>
          </w:p>
        </w:tc>
        <w:tc>
          <w:tcPr>
            <w:tcW w:type="dxa" w:w="1300"/>
            <w:shd w:fill="12395B" w:color="auto" w:val="clear"/>
            <w:tcMar>
              <w:top w:type="dxa" w:w="75"/>
              <w:left w:type="dxa" w:w="115"/>
              <w:bottom w:type="dxa" w:w="75"/>
              <w:right w:type="dxa" w:w="115"/>
            </w:tcMar>
            <w:vAlign w:val="center"/>
          </w:tcPr>
          <w:p>
            <w:pPr>
              <w:jc w:val="right"/>
            </w:pPr>
            <w:r>
              <w:rPr>
                <w:rFonts w:ascii="Calibri" w:cs="Calibri" w:eastAsia="Calibri" w:hAnsi="Calibri"/>
                <w:b/>
                <w:bCs/>
                <w:color w:val="FFFFFF"/>
                <w:sz w:val="19"/>
                <w:szCs w:val="19"/>
              </w:rPr>
              <w:t xml:space="preserve">Vendas</w:t>
            </w:r>
          </w:p>
        </w:tc>
        <w:tc>
          <w:tcPr>
            <w:tcW w:type="dxa" w:w="2926"/>
            <w:shd w:fill="12395B" w:color="auto" w:val="clear"/>
            <w:tcMar>
              <w:top w:type="dxa" w:w="75"/>
              <w:left w:type="dxa" w:w="115"/>
              <w:bottom w:type="dxa" w:w="75"/>
              <w:right w:type="dxa" w:w="115"/>
            </w:tcMar>
            <w:vAlign w:val="center"/>
          </w:tcPr>
          <w:p>
            <w:pPr>
              <w:jc w:val="right"/>
            </w:pPr>
            <w:r>
              <w:rPr>
                <w:rFonts w:ascii="Calibri" w:cs="Calibri" w:eastAsia="Calibri" w:hAnsi="Calibri"/>
                <w:b/>
                <w:bCs/>
                <w:color w:val="FFFFFF"/>
                <w:sz w:val="19"/>
                <w:szCs w:val="19"/>
              </w:rPr>
              <w:t xml:space="preserve">Faturamento bruto</w:t>
            </w:r>
          </w:p>
        </w:tc>
      </w:tr>
      <w:tr>
        <w:tc>
          <w:tcPr>
            <w:tcW w:type="dxa" w:w="19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Oneinfinite</w:t>
            </w:r>
          </w:p>
        </w:tc>
        <w:tc>
          <w:tcPr>
            <w:tcW w:type="dxa" w:w="29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Produto terminando em “Aw”</w:t>
            </w:r>
          </w:p>
        </w:tc>
        <w:tc>
          <w:tcPr>
            <w:tcW w:type="dxa" w:w="13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5</w:t>
            </w:r>
          </w:p>
        </w:tc>
        <w:tc>
          <w:tcPr>
            <w:tcW w:type="dxa" w:w="2926"/>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US$ 701,00</w:t>
            </w:r>
          </w:p>
        </w:tc>
      </w:tr>
      <w:tr>
        <w:tc>
          <w:tcPr>
            <w:tcW w:type="dxa" w:w="19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Guru</w:t>
            </w:r>
          </w:p>
        </w:tc>
        <w:tc>
          <w:tcPr>
            <w:tcW w:type="dxa" w:w="29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utm_source = awsales</w:t>
            </w:r>
          </w:p>
        </w:tc>
        <w:tc>
          <w:tcPr>
            <w:tcW w:type="dxa" w:w="1300"/>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17</w:t>
            </w:r>
          </w:p>
        </w:tc>
        <w:tc>
          <w:tcPr>
            <w:tcW w:type="dxa" w:w="2926"/>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R$ 17.000,00</w:t>
            </w:r>
          </w:p>
        </w:tc>
      </w:tr>
      <w:tr>
        <w:tc>
          <w:tcPr>
            <w:tcW w:type="dxa" w:w="19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Hotmart</w:t>
            </w:r>
          </w:p>
        </w:tc>
        <w:tc>
          <w:tcPr>
            <w:tcW w:type="dxa" w:w="29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Código SCK = awsales</w:t>
            </w:r>
          </w:p>
        </w:tc>
        <w:tc>
          <w:tcPr>
            <w:tcW w:type="dxa" w:w="13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101</w:t>
            </w:r>
          </w:p>
        </w:tc>
        <w:tc>
          <w:tcPr>
            <w:tcW w:type="dxa" w:w="2926"/>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US$ 13.786,88</w:t>
            </w:r>
          </w:p>
        </w:tc>
      </w:tr>
      <w:tr>
        <w:tc>
          <w:tcPr>
            <w:tcW w:type="dxa" w:w="1900"/>
            <w:shd w:fill="EAF1F8" w:color="auto" w:val="clear"/>
            <w:tcMar>
              <w:top w:type="dxa" w:w="75"/>
              <w:left w:type="dxa" w:w="115"/>
              <w:bottom w:type="dxa" w:w="75"/>
              <w:right w:type="dxa" w:w="115"/>
            </w:tcMar>
            <w:vAlign w:val="center"/>
          </w:tcPr>
          <w:p>
            <w:pPr>
              <w:jc w:val="left"/>
            </w:pPr>
            <w:r>
              <w:rPr>
                <w:rFonts w:ascii="Calibri" w:cs="Calibri" w:eastAsia="Calibri" w:hAnsi="Calibri"/>
                <w:b/>
                <w:bCs/>
                <w:color w:val="1A1A1A"/>
                <w:sz w:val="19"/>
                <w:szCs w:val="19"/>
              </w:rPr>
              <w:t xml:space="preserve">Total</w:t>
            </w:r>
          </w:p>
        </w:tc>
        <w:tc>
          <w:tcPr>
            <w:tcW w:type="dxa" w:w="2900"/>
            <w:shd w:fill="EAF1F8" w:color="auto" w:val="clear"/>
            <w:tcMar>
              <w:top w:type="dxa" w:w="75"/>
              <w:left w:type="dxa" w:w="115"/>
              <w:bottom w:type="dxa" w:w="75"/>
              <w:right w:type="dxa" w:w="115"/>
            </w:tcMar>
            <w:vAlign w:val="center"/>
          </w:tcPr>
          <w:p>
            <w:pPr>
              <w:jc w:val="left"/>
            </w:pPr>
            <w:r>
              <w:rPr>
                <w:rFonts w:ascii="Calibri" w:cs="Calibri" w:eastAsia="Calibri" w:hAnsi="Calibri"/>
                <w:b/>
                <w:bCs/>
                <w:color w:val="1A1A1A"/>
                <w:sz w:val="19"/>
                <w:szCs w:val="19"/>
              </w:rPr>
              <w:t xml:space="preserve"/>
            </w:r>
          </w:p>
        </w:tc>
        <w:tc>
          <w:tcPr>
            <w:tcW w:type="dxa" w:w="1300"/>
            <w:shd w:fill="EAF1F8" w:color="auto" w:val="clear"/>
            <w:tcMar>
              <w:top w:type="dxa" w:w="75"/>
              <w:left w:type="dxa" w:w="115"/>
              <w:bottom w:type="dxa" w:w="75"/>
              <w:right w:type="dxa" w:w="115"/>
            </w:tcMar>
            <w:vAlign w:val="center"/>
          </w:tcPr>
          <w:p>
            <w:pPr>
              <w:jc w:val="right"/>
            </w:pPr>
            <w:r>
              <w:rPr>
                <w:rFonts w:ascii="Calibri" w:cs="Calibri" w:eastAsia="Calibri" w:hAnsi="Calibri"/>
                <w:b/>
                <w:bCs/>
                <w:color w:val="1A1A1A"/>
                <w:sz w:val="19"/>
                <w:szCs w:val="19"/>
              </w:rPr>
              <w:t xml:space="preserve">123</w:t>
            </w:r>
          </w:p>
        </w:tc>
        <w:tc>
          <w:tcPr>
            <w:tcW w:type="dxa" w:w="2926"/>
            <w:shd w:fill="EAF1F8" w:color="auto" w:val="clear"/>
            <w:tcMar>
              <w:top w:type="dxa" w:w="75"/>
              <w:left w:type="dxa" w:w="115"/>
              <w:bottom w:type="dxa" w:w="75"/>
              <w:right w:type="dxa" w:w="115"/>
            </w:tcMar>
            <w:vAlign w:val="center"/>
          </w:tcPr>
          <w:p>
            <w:pPr>
              <w:jc w:val="right"/>
            </w:pPr>
            <w:r>
              <w:rPr>
                <w:rFonts w:ascii="Calibri" w:cs="Calibri" w:eastAsia="Calibri" w:hAnsi="Calibri"/>
                <w:b/>
                <w:bCs/>
                <w:color w:val="1A1A1A"/>
                <w:sz w:val="19"/>
                <w:szCs w:val="19"/>
              </w:rPr>
              <w:t xml:space="preserve">US$ 14.487,88 + R$ 17.000,00</w:t>
            </w:r>
          </w:p>
        </w:tc>
      </w:tr>
    </w:tbl>
    <w:p>
      <w:pPr>
        <w:spacing w:after="120" w:before="300"/>
      </w:pPr>
      <w:r>
        <w:rPr>
          <w:rFonts w:ascii="Calibri" w:cs="Calibri" w:eastAsia="Calibri" w:hAnsi="Calibri"/>
          <w:b/>
          <w:bCs/>
          <w:color w:val="12395B"/>
          <w:sz w:val="24"/>
          <w:szCs w:val="24"/>
        </w:rPr>
        <w:t xml:space="preserve">Por que 145 pagamentos viram 123 vendas</w:t>
      </w:r>
    </w:p>
    <w:tbl>
      <w:tblPr>
        <w:tblW w:type="dxa" w:w="9026"/>
        <w:tblBorders>
          <w:top w:val="none" w:color="FFFFFF" w:sz="0"/>
          <w:left w:val="single" w:color="12395B" w:sz="24"/>
          <w:bottom w:val="none" w:color="FFFFFF" w:sz="0"/>
          <w:right w:val="none" w:color="FFFFFF" w:sz="0"/>
          <w:insideH w:val="none" w:color="FFFFFF" w:sz="0"/>
          <w:insideV w:val="none" w:color="FFFFFF" w:sz="0"/>
        </w:tblBorders>
      </w:tblPr>
      <w:tblGrid>
        <w:gridCol w:w="9026"/>
      </w:tblGrid>
      <w:tr>
        <w:tc>
          <w:tcPr>
            <w:tcW w:type="dxa" w:w="9026"/>
            <w:shd w:fill="EAF1F8" w:color="auto" w:val="clear"/>
            <w:tcMar>
              <w:top w:type="dxa" w:w="150"/>
              <w:left w:type="dxa" w:w="230"/>
              <w:bottom w:type="dxa" w:w="150"/>
              <w:right w:type="dxa" w:w="230"/>
            </w:tcMar>
          </w:tcPr>
          <w:p>
            <w:pPr>
              <w:spacing w:after="80" w:before="0"/>
            </w:pPr>
            <w:r>
              <w:rPr>
                <w:rFonts w:ascii="Calibri" w:cs="Calibri" w:eastAsia="Calibri" w:hAnsi="Calibri"/>
                <w:i w:val="false"/>
                <w:iCs w:val="false"/>
                <w:color w:val="1A1A1A"/>
                <w:sz w:val="19"/>
                <w:szCs w:val="19"/>
              </w:rPr>
              <w:t xml:space="preserve">Dos 145 pagamentos com a etiqueta do bot, 22 são cobranças de parcelas de vendas fechadas em edições anteriores do lançamento — não são vendas do LATIA05. Com o carrinho aberto apenas a partir de 15/07, nenhuma venda desta edição poderia já estar na 3ª ou na 4ª cobrança dentro da própria semana.</w:t>
            </w:r>
          </w:p>
          <w:p>
            <w:pPr>
              <w:spacing w:after="80" w:before="0"/>
            </w:pPr>
            <w:r>
              <w:rPr>
                <w:rFonts w:ascii="Calibri" w:cs="Calibri" w:eastAsia="Calibri" w:hAnsi="Calibri"/>
                <w:i w:val="false"/>
                <w:iCs w:val="false"/>
                <w:color w:val="1A1A1A"/>
                <w:sz w:val="19"/>
                <w:szCs w:val="19"/>
              </w:rPr>
              <w:t xml:space="preserve">Hotmart (19): o campo “Quantidade de cobranças” numera a cobrança dentro da assinatura, e essas 19 linhas são a 3ª ou a 4ª do plano “4 cuotas $55 USD”. O arquivo traz todas as transações aprovadas de 15 a 21/07 e não registra a 1ª cobrança de nenhum desses assinantes — ela ficou antes da abertura do carrinho.</w:t>
            </w:r>
          </w:p>
          <w:p>
            <w:pPr>
              <w:spacing w:after="0" w:before="0"/>
            </w:pPr>
            <w:r>
              <w:rPr>
                <w:rFonts w:ascii="Calibri" w:cs="Calibri" w:eastAsia="Calibri" w:hAnsi="Calibri"/>
                <w:i w:val="false"/>
                <w:iCs w:val="false"/>
                <w:color w:val="1A1A1A"/>
                <w:sz w:val="19"/>
                <w:szCs w:val="19"/>
              </w:rPr>
              <w:t xml:space="preserve">Oneinfinite (3): a base não tem campo de parcela, então o critério foi o histórico do comprador. Os três já haviam pago o mesmo produto 31, 62 e 121 dias antes. Os outros cinco pagamentos do período são de compradores sem pagamento anterior daquele produto e contam como venda nova.</w:t>
            </w:r>
          </w:p>
        </w:tc>
      </w:tr>
    </w:tbl>
    <w:p>
      <w:pPr>
        <w:spacing w:after="120" w:before="300"/>
      </w:pPr>
      <w:r>
        <w:rPr>
          <w:rFonts w:ascii="Calibri" w:cs="Calibri" w:eastAsia="Calibri" w:hAnsi="Calibri"/>
          <w:b/>
          <w:bCs/>
          <w:color w:val="12395B"/>
          <w:sz w:val="24"/>
          <w:szCs w:val="24"/>
        </w:rPr>
        <w:t xml:space="preserve">Faturamento total recebido no período</w:t>
      </w:r>
    </w:p>
    <w:tbl>
      <w:tblPr>
        <w:tblW w:type="dxa" w:w="9026"/>
        <w:tblBorders>
          <w:top w:val="single" w:color="D6DEE7" w:sz="4"/>
          <w:left w:val="single" w:color="D6DEE7" w:sz="4"/>
          <w:bottom w:val="single" w:color="D6DEE7" w:sz="4"/>
          <w:right w:val="single" w:color="D6DEE7" w:sz="4"/>
          <w:insideH w:val="single" w:color="D6DEE7" w:sz="4"/>
          <w:insideV w:val="single" w:color="D6DEE7" w:sz="4"/>
        </w:tblBorders>
      </w:tblPr>
      <w:tblGrid>
        <w:gridCol w:w="3400"/>
        <w:gridCol w:w="1900"/>
        <w:gridCol w:w="1900"/>
        <w:gridCol w:w="1826"/>
      </w:tblGrid>
      <w:tr>
        <w:trPr>
          <w:tblHeader/>
        </w:trPr>
        <w:tc>
          <w:tcPr>
            <w:tcW w:type="dxa" w:w="3400"/>
            <w:shd w:fill="12395B" w:color="auto" w:val="clear"/>
            <w:tcMar>
              <w:top w:type="dxa" w:w="75"/>
              <w:left w:type="dxa" w:w="115"/>
              <w:bottom w:type="dxa" w:w="75"/>
              <w:right w:type="dxa" w:w="115"/>
            </w:tcMar>
            <w:vAlign w:val="center"/>
          </w:tcPr>
          <w:p>
            <w:pPr>
              <w:jc w:val="left"/>
            </w:pPr>
            <w:r>
              <w:rPr>
                <w:rFonts w:ascii="Calibri" w:cs="Calibri" w:eastAsia="Calibri" w:hAnsi="Calibri"/>
                <w:b/>
                <w:bCs/>
                <w:color w:val="FFFFFF"/>
                <w:sz w:val="19"/>
                <w:szCs w:val="19"/>
              </w:rPr>
              <w:t xml:space="preserve">Moeda de liquidação</w:t>
            </w:r>
          </w:p>
        </w:tc>
        <w:tc>
          <w:tcPr>
            <w:tcW w:type="dxa" w:w="1900"/>
            <w:shd w:fill="12395B" w:color="auto" w:val="clear"/>
            <w:tcMar>
              <w:top w:type="dxa" w:w="75"/>
              <w:left w:type="dxa" w:w="115"/>
              <w:bottom w:type="dxa" w:w="75"/>
              <w:right w:type="dxa" w:w="115"/>
            </w:tcMar>
            <w:vAlign w:val="center"/>
          </w:tcPr>
          <w:p>
            <w:pPr>
              <w:jc w:val="right"/>
            </w:pPr>
            <w:r>
              <w:rPr>
                <w:rFonts w:ascii="Calibri" w:cs="Calibri" w:eastAsia="Calibri" w:hAnsi="Calibri"/>
                <w:b/>
                <w:bCs/>
                <w:color w:val="FFFFFF"/>
                <w:sz w:val="19"/>
                <w:szCs w:val="19"/>
              </w:rPr>
              <w:t xml:space="preserve">Bruto</w:t>
            </w:r>
          </w:p>
        </w:tc>
        <w:tc>
          <w:tcPr>
            <w:tcW w:type="dxa" w:w="1900"/>
            <w:shd w:fill="12395B" w:color="auto" w:val="clear"/>
            <w:tcMar>
              <w:top w:type="dxa" w:w="75"/>
              <w:left w:type="dxa" w:w="115"/>
              <w:bottom w:type="dxa" w:w="75"/>
              <w:right w:type="dxa" w:w="115"/>
            </w:tcMar>
            <w:vAlign w:val="center"/>
          </w:tcPr>
          <w:p>
            <w:pPr>
              <w:jc w:val="right"/>
            </w:pPr>
            <w:r>
              <w:rPr>
                <w:rFonts w:ascii="Calibri" w:cs="Calibri" w:eastAsia="Calibri" w:hAnsi="Calibri"/>
                <w:b/>
                <w:bCs/>
                <w:color w:val="FFFFFF"/>
                <w:sz w:val="19"/>
                <w:szCs w:val="19"/>
              </w:rPr>
              <w:t xml:space="preserve">Taxas</w:t>
            </w:r>
          </w:p>
        </w:tc>
        <w:tc>
          <w:tcPr>
            <w:tcW w:type="dxa" w:w="1826"/>
            <w:shd w:fill="12395B" w:color="auto" w:val="clear"/>
            <w:tcMar>
              <w:top w:type="dxa" w:w="75"/>
              <w:left w:type="dxa" w:w="115"/>
              <w:bottom w:type="dxa" w:w="75"/>
              <w:right w:type="dxa" w:w="115"/>
            </w:tcMar>
            <w:vAlign w:val="center"/>
          </w:tcPr>
          <w:p>
            <w:pPr>
              <w:jc w:val="right"/>
            </w:pPr>
            <w:r>
              <w:rPr>
                <w:rFonts w:ascii="Calibri" w:cs="Calibri" w:eastAsia="Calibri" w:hAnsi="Calibri"/>
                <w:b/>
                <w:bCs/>
                <w:color w:val="FFFFFF"/>
                <w:sz w:val="19"/>
                <w:szCs w:val="19"/>
              </w:rPr>
              <w:t xml:space="preserve">Líquido</w:t>
            </w:r>
          </w:p>
        </w:tc>
      </w:tr>
      <w:tr>
        <w:tc>
          <w:tcPr>
            <w:tcW w:type="dxa" w:w="34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USD — Oneinfinite + Hotmart</w:t>
            </w:r>
          </w:p>
        </w:tc>
        <w:tc>
          <w:tcPr>
            <w:tcW w:type="dxa" w:w="19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15.735,75</w:t>
            </w:r>
          </w:p>
        </w:tc>
        <w:tc>
          <w:tcPr>
            <w:tcW w:type="dxa" w:w="19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1.061,69</w:t>
            </w:r>
          </w:p>
        </w:tc>
        <w:tc>
          <w:tcPr>
            <w:tcW w:type="dxa" w:w="1826"/>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14.674,06</w:t>
            </w:r>
          </w:p>
        </w:tc>
      </w:tr>
      <w:tr>
        <w:tc>
          <w:tcPr>
            <w:tcW w:type="dxa" w:w="34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BRL — Guru</w:t>
            </w:r>
          </w:p>
        </w:tc>
        <w:tc>
          <w:tcPr>
            <w:tcW w:type="dxa" w:w="1900"/>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17.000,00</w:t>
            </w:r>
          </w:p>
        </w:tc>
        <w:tc>
          <w:tcPr>
            <w:tcW w:type="dxa" w:w="1900"/>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25,20</w:t>
            </w:r>
          </w:p>
        </w:tc>
        <w:tc>
          <w:tcPr>
            <w:tcW w:type="dxa" w:w="1826"/>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16.974,80</w:t>
            </w:r>
          </w:p>
        </w:tc>
      </w:tr>
    </w:tbl>
    <w:p>
      <w:pPr>
        <w:spacing w:after="0" w:before="80"/>
      </w:pPr>
      <w:r>
        <w:rPr>
          <w:rFonts w:ascii="Calibri" w:cs="Calibri" w:eastAsia="Calibri" w:hAnsi="Calibri"/>
          <w:i/>
          <w:iCs/>
          <w:color w:val="6B7480"/>
          <w:sz w:val="16"/>
          <w:szCs w:val="16"/>
        </w:rPr>
        <w:t xml:space="preserve">Inclui as 22 cobranças de parcelas anteriores (US$ 1.247,87). Oneinfinite e Hotmart liquidam em dólar e por isso somam entre si; o Guru liquida em real e fica separado.</w:t>
      </w:r>
    </w:p>
    <w:p>
      <w:pPr>
        <w:spacing w:after="120" w:before="300"/>
      </w:pPr>
      <w:r>
        <w:rPr>
          <w:rFonts w:ascii="Calibri" w:cs="Calibri" w:eastAsia="Calibri" w:hAnsi="Calibri"/>
          <w:b/>
          <w:bCs/>
          <w:color w:val="12395B"/>
          <w:sz w:val="24"/>
          <w:szCs w:val="24"/>
        </w:rPr>
        <w:t xml:space="preserve">Detalhe por produto</w:t>
      </w:r>
    </w:p>
    <w:tbl>
      <w:tblPr>
        <w:tblW w:type="dxa" w:w="9026"/>
        <w:tblBorders>
          <w:top w:val="single" w:color="D6DEE7" w:sz="4"/>
          <w:left w:val="single" w:color="D6DEE7" w:sz="4"/>
          <w:bottom w:val="single" w:color="D6DEE7" w:sz="4"/>
          <w:right w:val="single" w:color="D6DEE7" w:sz="4"/>
          <w:insideH w:val="single" w:color="D6DEE7" w:sz="4"/>
          <w:insideV w:val="single" w:color="D6DEE7" w:sz="4"/>
        </w:tblBorders>
      </w:tblPr>
      <w:tblGrid>
        <w:gridCol w:w="1900"/>
        <w:gridCol w:w="4200"/>
        <w:gridCol w:w="1000"/>
        <w:gridCol w:w="1926"/>
      </w:tblGrid>
      <w:tr>
        <w:trPr>
          <w:tblHeader/>
        </w:trPr>
        <w:tc>
          <w:tcPr>
            <w:tcW w:type="dxa" w:w="1900"/>
            <w:shd w:fill="12395B" w:color="auto" w:val="clear"/>
            <w:tcMar>
              <w:top w:type="dxa" w:w="75"/>
              <w:left w:type="dxa" w:w="115"/>
              <w:bottom w:type="dxa" w:w="75"/>
              <w:right w:type="dxa" w:w="115"/>
            </w:tcMar>
            <w:vAlign w:val="center"/>
          </w:tcPr>
          <w:p>
            <w:pPr>
              <w:jc w:val="left"/>
            </w:pPr>
            <w:r>
              <w:rPr>
                <w:rFonts w:ascii="Calibri" w:cs="Calibri" w:eastAsia="Calibri" w:hAnsi="Calibri"/>
                <w:b/>
                <w:bCs/>
                <w:color w:val="FFFFFF"/>
                <w:sz w:val="19"/>
                <w:szCs w:val="19"/>
              </w:rPr>
              <w:t xml:space="preserve">Plataforma</w:t>
            </w:r>
          </w:p>
        </w:tc>
        <w:tc>
          <w:tcPr>
            <w:tcW w:type="dxa" w:w="4200"/>
            <w:shd w:fill="12395B" w:color="auto" w:val="clear"/>
            <w:tcMar>
              <w:top w:type="dxa" w:w="75"/>
              <w:left w:type="dxa" w:w="115"/>
              <w:bottom w:type="dxa" w:w="75"/>
              <w:right w:type="dxa" w:w="115"/>
            </w:tcMar>
            <w:vAlign w:val="center"/>
          </w:tcPr>
          <w:p>
            <w:pPr>
              <w:jc w:val="left"/>
            </w:pPr>
            <w:r>
              <w:rPr>
                <w:rFonts w:ascii="Calibri" w:cs="Calibri" w:eastAsia="Calibri" w:hAnsi="Calibri"/>
                <w:b/>
                <w:bCs/>
                <w:color w:val="FFFFFF"/>
                <w:sz w:val="19"/>
                <w:szCs w:val="19"/>
              </w:rPr>
              <w:t xml:space="preserve">Produto</w:t>
            </w:r>
          </w:p>
        </w:tc>
        <w:tc>
          <w:tcPr>
            <w:tcW w:type="dxa" w:w="1000"/>
            <w:shd w:fill="12395B" w:color="auto" w:val="clear"/>
            <w:tcMar>
              <w:top w:type="dxa" w:w="75"/>
              <w:left w:type="dxa" w:w="115"/>
              <w:bottom w:type="dxa" w:w="75"/>
              <w:right w:type="dxa" w:w="115"/>
            </w:tcMar>
            <w:vAlign w:val="center"/>
          </w:tcPr>
          <w:p>
            <w:pPr>
              <w:jc w:val="right"/>
            </w:pPr>
            <w:r>
              <w:rPr>
                <w:rFonts w:ascii="Calibri" w:cs="Calibri" w:eastAsia="Calibri" w:hAnsi="Calibri"/>
                <w:b/>
                <w:bCs/>
                <w:color w:val="FFFFFF"/>
                <w:sz w:val="19"/>
                <w:szCs w:val="19"/>
              </w:rPr>
              <w:t xml:space="preserve">Vendas</w:t>
            </w:r>
          </w:p>
        </w:tc>
        <w:tc>
          <w:tcPr>
            <w:tcW w:type="dxa" w:w="1926"/>
            <w:shd w:fill="12395B" w:color="auto" w:val="clear"/>
            <w:tcMar>
              <w:top w:type="dxa" w:w="75"/>
              <w:left w:type="dxa" w:w="115"/>
              <w:bottom w:type="dxa" w:w="75"/>
              <w:right w:type="dxa" w:w="115"/>
            </w:tcMar>
            <w:vAlign w:val="center"/>
          </w:tcPr>
          <w:p>
            <w:pPr>
              <w:jc w:val="right"/>
            </w:pPr>
            <w:r>
              <w:rPr>
                <w:rFonts w:ascii="Calibri" w:cs="Calibri" w:eastAsia="Calibri" w:hAnsi="Calibri"/>
                <w:b/>
                <w:bCs/>
                <w:color w:val="FFFFFF"/>
                <w:sz w:val="19"/>
                <w:szCs w:val="19"/>
              </w:rPr>
              <w:t xml:space="preserve">Faturamento bruto</w:t>
            </w:r>
          </w:p>
        </w:tc>
      </w:tr>
      <w:tr>
        <w:tc>
          <w:tcPr>
            <w:tcW w:type="dxa" w:w="19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Hotmart</w:t>
            </w:r>
          </w:p>
        </w:tc>
        <w:tc>
          <w:tcPr>
            <w:tcW w:type="dxa" w:w="42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Promoción Plataforma Daxus – Etapa VIP</w:t>
            </w:r>
          </w:p>
        </w:tc>
        <w:tc>
          <w:tcPr>
            <w:tcW w:type="dxa" w:w="10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79</w:t>
            </w:r>
          </w:p>
        </w:tc>
        <w:tc>
          <w:tcPr>
            <w:tcW w:type="dxa" w:w="1926"/>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US$ 12.231,45</w:t>
            </w:r>
          </w:p>
        </w:tc>
      </w:tr>
      <w:tr>
        <w:tc>
          <w:tcPr>
            <w:tcW w:type="dxa" w:w="19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Hotmart</w:t>
            </w:r>
          </w:p>
        </w:tc>
        <w:tc>
          <w:tcPr>
            <w:tcW w:type="dxa" w:w="42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Etapa VIP – 4 cuotas $55 USD</w:t>
            </w:r>
          </w:p>
        </w:tc>
        <w:tc>
          <w:tcPr>
            <w:tcW w:type="dxa" w:w="1000"/>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18</w:t>
            </w:r>
          </w:p>
        </w:tc>
        <w:tc>
          <w:tcPr>
            <w:tcW w:type="dxa" w:w="1926"/>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US$ 1.007,56</w:t>
            </w:r>
          </w:p>
        </w:tc>
      </w:tr>
      <w:tr>
        <w:tc>
          <w:tcPr>
            <w:tcW w:type="dxa" w:w="19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Hotmart</w:t>
            </w:r>
          </w:p>
        </w:tc>
        <w:tc>
          <w:tcPr>
            <w:tcW w:type="dxa" w:w="42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Oferta especial para estudiantes</w:t>
            </w:r>
          </w:p>
        </w:tc>
        <w:tc>
          <w:tcPr>
            <w:tcW w:type="dxa" w:w="10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4</w:t>
            </w:r>
          </w:p>
        </w:tc>
        <w:tc>
          <w:tcPr>
            <w:tcW w:type="dxa" w:w="1926"/>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US$ 547,87</w:t>
            </w:r>
          </w:p>
        </w:tc>
      </w:tr>
      <w:tr>
        <w:tc>
          <w:tcPr>
            <w:tcW w:type="dxa" w:w="19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Guru</w:t>
            </w:r>
          </w:p>
        </w:tc>
        <w:tc>
          <w:tcPr>
            <w:tcW w:type="dxa" w:w="42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Plataforma Daxus Latam</w:t>
            </w:r>
          </w:p>
        </w:tc>
        <w:tc>
          <w:tcPr>
            <w:tcW w:type="dxa" w:w="1000"/>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17</w:t>
            </w:r>
          </w:p>
        </w:tc>
        <w:tc>
          <w:tcPr>
            <w:tcW w:type="dxa" w:w="1926"/>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R$ 17.000,00</w:t>
            </w:r>
          </w:p>
        </w:tc>
      </w:tr>
      <w:tr>
        <w:tc>
          <w:tcPr>
            <w:tcW w:type="dxa" w:w="19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Oneinfinite</w:t>
            </w:r>
          </w:p>
        </w:tc>
        <w:tc>
          <w:tcPr>
            <w:tcW w:type="dxa" w:w="42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Etapa VIP 197USD Aw</w:t>
            </w:r>
          </w:p>
        </w:tc>
        <w:tc>
          <w:tcPr>
            <w:tcW w:type="dxa" w:w="10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3</w:t>
            </w:r>
          </w:p>
        </w:tc>
        <w:tc>
          <w:tcPr>
            <w:tcW w:type="dxa" w:w="1926"/>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US$ 591,00</w:t>
            </w:r>
          </w:p>
        </w:tc>
      </w:tr>
      <w:tr>
        <w:tc>
          <w:tcPr>
            <w:tcW w:type="dxa" w:w="19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Oneinfinite</w:t>
            </w:r>
          </w:p>
        </w:tc>
        <w:tc>
          <w:tcPr>
            <w:tcW w:type="dxa" w:w="42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Etapa VIP 4 cuotas Aw</w:t>
            </w:r>
          </w:p>
        </w:tc>
        <w:tc>
          <w:tcPr>
            <w:tcW w:type="dxa" w:w="1000"/>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2</w:t>
            </w:r>
          </w:p>
        </w:tc>
        <w:tc>
          <w:tcPr>
            <w:tcW w:type="dxa" w:w="1926"/>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US$ 110,00</w:t>
            </w:r>
          </w:p>
        </w:tc>
      </w:tr>
      <w:tr>
        <w:tc>
          <w:tcPr>
            <w:tcW w:type="dxa" w:w="1900"/>
            <w:shd w:fill="EAF1F8" w:color="auto" w:val="clear"/>
            <w:tcMar>
              <w:top w:type="dxa" w:w="75"/>
              <w:left w:type="dxa" w:w="115"/>
              <w:bottom w:type="dxa" w:w="75"/>
              <w:right w:type="dxa" w:w="115"/>
            </w:tcMar>
            <w:vAlign w:val="center"/>
          </w:tcPr>
          <w:p>
            <w:pPr>
              <w:jc w:val="left"/>
            </w:pPr>
            <w:r>
              <w:rPr>
                <w:rFonts w:ascii="Calibri" w:cs="Calibri" w:eastAsia="Calibri" w:hAnsi="Calibri"/>
                <w:b/>
                <w:bCs/>
                <w:color w:val="1A1A1A"/>
                <w:sz w:val="19"/>
                <w:szCs w:val="19"/>
              </w:rPr>
              <w:t xml:space="preserve">Total</w:t>
            </w:r>
          </w:p>
        </w:tc>
        <w:tc>
          <w:tcPr>
            <w:tcW w:type="dxa" w:w="4200"/>
            <w:shd w:fill="EAF1F8" w:color="auto" w:val="clear"/>
            <w:tcMar>
              <w:top w:type="dxa" w:w="75"/>
              <w:left w:type="dxa" w:w="115"/>
              <w:bottom w:type="dxa" w:w="75"/>
              <w:right w:type="dxa" w:w="115"/>
            </w:tcMar>
            <w:vAlign w:val="center"/>
          </w:tcPr>
          <w:p>
            <w:pPr>
              <w:jc w:val="left"/>
            </w:pPr>
            <w:r>
              <w:rPr>
                <w:rFonts w:ascii="Calibri" w:cs="Calibri" w:eastAsia="Calibri" w:hAnsi="Calibri"/>
                <w:b/>
                <w:bCs/>
                <w:color w:val="1A1A1A"/>
                <w:sz w:val="19"/>
                <w:szCs w:val="19"/>
              </w:rPr>
              <w:t xml:space="preserve"/>
            </w:r>
          </w:p>
        </w:tc>
        <w:tc>
          <w:tcPr>
            <w:tcW w:type="dxa" w:w="1000"/>
            <w:shd w:fill="EAF1F8" w:color="auto" w:val="clear"/>
            <w:tcMar>
              <w:top w:type="dxa" w:w="75"/>
              <w:left w:type="dxa" w:w="115"/>
              <w:bottom w:type="dxa" w:w="75"/>
              <w:right w:type="dxa" w:w="115"/>
            </w:tcMar>
            <w:vAlign w:val="center"/>
          </w:tcPr>
          <w:p>
            <w:pPr>
              <w:jc w:val="right"/>
            </w:pPr>
            <w:r>
              <w:rPr>
                <w:rFonts w:ascii="Calibri" w:cs="Calibri" w:eastAsia="Calibri" w:hAnsi="Calibri"/>
                <w:b/>
                <w:bCs/>
                <w:color w:val="1A1A1A"/>
                <w:sz w:val="19"/>
                <w:szCs w:val="19"/>
              </w:rPr>
              <w:t xml:space="preserve">123</w:t>
            </w:r>
          </w:p>
        </w:tc>
        <w:tc>
          <w:tcPr>
            <w:tcW w:type="dxa" w:w="1926"/>
            <w:shd w:fill="EAF1F8" w:color="auto" w:val="clear"/>
            <w:tcMar>
              <w:top w:type="dxa" w:w="75"/>
              <w:left w:type="dxa" w:w="115"/>
              <w:bottom w:type="dxa" w:w="75"/>
              <w:right w:type="dxa" w:w="115"/>
            </w:tcMar>
            <w:vAlign w:val="center"/>
          </w:tcPr>
          <w:p>
            <w:pPr>
              <w:jc w:val="right"/>
            </w:pPr>
            <w:r>
              <w:rPr>
                <w:rFonts w:ascii="Calibri" w:cs="Calibri" w:eastAsia="Calibri" w:hAnsi="Calibri"/>
                <w:b/>
                <w:bCs/>
                <w:color w:val="1A1A1A"/>
                <w:sz w:val="19"/>
                <w:szCs w:val="19"/>
              </w:rPr>
              <w:t xml:space="preserve"/>
            </w:r>
          </w:p>
        </w:tc>
      </w:tr>
    </w:tbl>
    <w:p>
      <w:pPr>
        <w:spacing w:after="40" w:before="400"/>
      </w:pPr>
      <w:r>
        <w:rPr>
          <w:rFonts w:ascii="Calibri" w:cs="Calibri" w:eastAsia="Calibri" w:hAnsi="Calibri"/>
          <w:b/>
          <w:bCs/>
          <w:color w:val="12395B"/>
          <w:sz w:val="32"/>
          <w:szCs w:val="32"/>
        </w:rPr>
        <w:t xml:space="preserve">Agendamentos do bot</w:t>
      </w:r>
    </w:p>
    <w:p>
      <w:pPr>
        <w:pBdr>
          <w:bottom w:val="single" w:color="12395B" w:sz="6" w:space="8"/>
        </w:pBdr>
        <w:spacing w:after="120"/>
      </w:pPr>
      <w:r>
        <w:rPr>
          <w:rFonts w:ascii="Calibri" w:cs="Calibri" w:eastAsia="Calibri" w:hAnsi="Calibri"/>
          <w:color w:val="6B7480"/>
          <w:sz w:val="18"/>
          <w:szCs w:val="18"/>
        </w:rPr>
        <w:t xml:space="preserve">62 leads que agendaram retorno com o bot entre 15 e 19/07</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c>
          <w:tcPr>
            <w:tcW w:type="dxa" w:w="9026"/>
            <w:shd w:fill="EAF1F8" w:color="auto" w:val="clear"/>
            <w:tcMar>
              <w:top w:type="dxa" w:w="180"/>
              <w:left w:type="dxa" w:w="230"/>
              <w:bottom w:type="dxa" w:w="180"/>
              <w:right w:type="dxa" w:w="230"/>
            </w:tcMar>
          </w:tcPr>
          <w:p>
            <w:pPr>
              <w:spacing w:after="20"/>
            </w:pPr>
            <w:r>
              <w:rPr>
                <w:rFonts w:ascii="Calibri" w:cs="Calibri" w:eastAsia="Calibri" w:hAnsi="Calibri"/>
                <w:b/>
                <w:bCs/>
                <w:color w:val="12395B"/>
                <w:sz w:val="56"/>
                <w:szCs w:val="56"/>
              </w:rPr>
              <w:t xml:space="preserve">21 de 62</w:t>
            </w:r>
          </w:p>
          <w:p>
            <w:r>
              <w:rPr>
                <w:rFonts w:ascii="Calibri" w:cs="Calibri" w:eastAsia="Calibri" w:hAnsi="Calibri"/>
                <w:color w:val="1A1A1A"/>
                <w:sz w:val="20"/>
                <w:szCs w:val="20"/>
              </w:rPr>
              <w:t xml:space="preserve">leads agendados compraram — 34% de conversão</w:t>
            </w:r>
          </w:p>
        </w:tc>
      </w:tr>
    </w:tbl>
    <w:p>
      <w:pPr>
        <w:spacing w:after="120" w:before="300"/>
      </w:pPr>
      <w:r>
        <w:rPr>
          <w:rFonts w:ascii="Calibri" w:cs="Calibri" w:eastAsia="Calibri" w:hAnsi="Calibri"/>
          <w:b/>
          <w:bCs/>
          <w:color w:val="12395B"/>
          <w:sz w:val="24"/>
          <w:szCs w:val="24"/>
        </w:rPr>
        <w:t xml:space="preserve">Como os agendamentos converteram</w:t>
      </w:r>
    </w:p>
    <w:tbl>
      <w:tblPr>
        <w:tblW w:type="dxa" w:w="9026"/>
        <w:tblBorders>
          <w:top w:val="single" w:color="D6DEE7" w:sz="4"/>
          <w:left w:val="single" w:color="D6DEE7" w:sz="4"/>
          <w:bottom w:val="single" w:color="D6DEE7" w:sz="4"/>
          <w:right w:val="single" w:color="D6DEE7" w:sz="4"/>
          <w:insideH w:val="single" w:color="D6DEE7" w:sz="4"/>
          <w:insideV w:val="single" w:color="D6DEE7" w:sz="4"/>
        </w:tblBorders>
      </w:tblPr>
      <w:tblGrid>
        <w:gridCol w:w="4600"/>
        <w:gridCol w:w="1500"/>
        <w:gridCol w:w="1200"/>
        <w:gridCol w:w="1726"/>
      </w:tblGrid>
      <w:tr>
        <w:trPr>
          <w:tblHeader/>
        </w:trPr>
        <w:tc>
          <w:tcPr>
            <w:tcW w:type="dxa" w:w="4600"/>
            <w:shd w:fill="12395B" w:color="auto" w:val="clear"/>
            <w:tcMar>
              <w:top w:type="dxa" w:w="75"/>
              <w:left w:type="dxa" w:w="115"/>
              <w:bottom w:type="dxa" w:w="75"/>
              <w:right w:type="dxa" w:w="115"/>
            </w:tcMar>
            <w:vAlign w:val="center"/>
          </w:tcPr>
          <w:p>
            <w:pPr>
              <w:jc w:val="left"/>
            </w:pPr>
            <w:r>
              <w:rPr>
                <w:rFonts w:ascii="Calibri" w:cs="Calibri" w:eastAsia="Calibri" w:hAnsi="Calibri"/>
                <w:b/>
                <w:bCs/>
                <w:color w:val="FFFFFF"/>
                <w:sz w:val="19"/>
                <w:szCs w:val="19"/>
              </w:rPr>
              <w:t xml:space="preserve">Resultado do agendamento</w:t>
            </w:r>
          </w:p>
        </w:tc>
        <w:tc>
          <w:tcPr>
            <w:tcW w:type="dxa" w:w="1500"/>
            <w:shd w:fill="12395B" w:color="auto" w:val="clear"/>
            <w:tcMar>
              <w:top w:type="dxa" w:w="75"/>
              <w:left w:type="dxa" w:w="115"/>
              <w:bottom w:type="dxa" w:w="75"/>
              <w:right w:type="dxa" w:w="115"/>
            </w:tcMar>
            <w:vAlign w:val="center"/>
          </w:tcPr>
          <w:p>
            <w:pPr>
              <w:jc w:val="right"/>
            </w:pPr>
            <w:r>
              <w:rPr>
                <w:rFonts w:ascii="Calibri" w:cs="Calibri" w:eastAsia="Calibri" w:hAnsi="Calibri"/>
                <w:b/>
                <w:bCs/>
                <w:color w:val="FFFFFF"/>
                <w:sz w:val="19"/>
                <w:szCs w:val="19"/>
              </w:rPr>
              <w:t xml:space="preserve">Leads</w:t>
            </w:r>
          </w:p>
        </w:tc>
        <w:tc>
          <w:tcPr>
            <w:tcW w:type="dxa" w:w="1200"/>
            <w:shd w:fill="12395B" w:color="auto" w:val="clear"/>
            <w:tcMar>
              <w:top w:type="dxa" w:w="75"/>
              <w:left w:type="dxa" w:w="115"/>
              <w:bottom w:type="dxa" w:w="75"/>
              <w:right w:type="dxa" w:w="115"/>
            </w:tcMar>
            <w:vAlign w:val="center"/>
          </w:tcPr>
          <w:p>
            <w:pPr>
              <w:jc w:val="right"/>
            </w:pPr>
            <w:r>
              <w:rPr>
                <w:rFonts w:ascii="Calibri" w:cs="Calibri" w:eastAsia="Calibri" w:hAnsi="Calibri"/>
                <w:b/>
                <w:bCs/>
                <w:color w:val="FFFFFF"/>
                <w:sz w:val="19"/>
                <w:szCs w:val="19"/>
              </w:rPr>
              <w:t xml:space="preserve">%</w:t>
            </w:r>
          </w:p>
        </w:tc>
        <w:tc>
          <w:tcPr>
            <w:tcW w:type="dxa" w:w="1726"/>
            <w:shd w:fill="12395B" w:color="auto" w:val="clear"/>
            <w:tcMar>
              <w:top w:type="dxa" w:w="75"/>
              <w:left w:type="dxa" w:w="115"/>
              <w:bottom w:type="dxa" w:w="75"/>
              <w:right w:type="dxa" w:w="115"/>
            </w:tcMar>
            <w:vAlign w:val="center"/>
          </w:tcPr>
          <w:p>
            <w:pPr>
              <w:jc w:val="right"/>
            </w:pPr>
            <w:r>
              <w:rPr>
                <w:rFonts w:ascii="Calibri" w:cs="Calibri" w:eastAsia="Calibri" w:hAnsi="Calibri"/>
                <w:b/>
                <w:bCs/>
                <w:color w:val="FFFFFF"/>
                <w:sz w:val="19"/>
                <w:szCs w:val="19"/>
              </w:rPr>
              <w:t xml:space="preserve">Faturamento</w:t>
            </w:r>
          </w:p>
        </w:tc>
      </w:tr>
      <w:tr>
        <w:tc>
          <w:tcPr>
            <w:tcW w:type="dxa" w:w="46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Compra direta — venda com etiqueta do bot</w:t>
            </w:r>
          </w:p>
        </w:tc>
        <w:tc>
          <w:tcPr>
            <w:tcW w:type="dxa" w:w="15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6</w:t>
            </w:r>
          </w:p>
        </w:tc>
        <w:tc>
          <w:tcPr>
            <w:tcW w:type="dxa" w:w="12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10%</w:t>
            </w:r>
          </w:p>
        </w:tc>
        <w:tc>
          <w:tcPr>
            <w:tcW w:type="dxa" w:w="1726"/>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US$ 670,15</w:t>
            </w:r>
          </w:p>
        </w:tc>
      </w:tr>
      <w:tr>
        <w:tc>
          <w:tcPr>
            <w:tcW w:type="dxa" w:w="46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Compra indireta — sem etiqueta do bot</w:t>
            </w:r>
          </w:p>
        </w:tc>
        <w:tc>
          <w:tcPr>
            <w:tcW w:type="dxa" w:w="1500"/>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15</w:t>
            </w:r>
          </w:p>
        </w:tc>
        <w:tc>
          <w:tcPr>
            <w:tcW w:type="dxa" w:w="1200"/>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24%</w:t>
            </w:r>
          </w:p>
        </w:tc>
        <w:tc>
          <w:tcPr>
            <w:tcW w:type="dxa" w:w="1726"/>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US$ 1.792,08</w:t>
            </w:r>
          </w:p>
        </w:tc>
      </w:tr>
      <w:tr>
        <w:tc>
          <w:tcPr>
            <w:tcW w:type="dxa" w:w="4600"/>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Acesso liberado, venda não localizada</w:t>
            </w:r>
          </w:p>
        </w:tc>
        <w:tc>
          <w:tcPr>
            <w:tcW w:type="dxa" w:w="15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4</w:t>
            </w:r>
          </w:p>
        </w:tc>
        <w:tc>
          <w:tcPr>
            <w:tcW w:type="dxa" w:w="1200"/>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6%</w:t>
            </w:r>
          </w:p>
        </w:tc>
        <w:tc>
          <w:tcPr>
            <w:tcW w:type="dxa" w:w="1726"/>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w:t>
            </w:r>
          </w:p>
        </w:tc>
      </w:tr>
      <w:tr>
        <w:tc>
          <w:tcPr>
            <w:tcW w:type="dxa" w:w="4600"/>
            <w:shd w:fill="F2F6FA" w:color="auto" w:val="clear"/>
            <w:tcMar>
              <w:top w:type="dxa" w:w="75"/>
              <w:left w:type="dxa" w:w="115"/>
              <w:bottom w:type="dxa" w:w="75"/>
              <w:right w:type="dxa" w:w="115"/>
            </w:tcMar>
            <w:vAlign w:val="center"/>
          </w:tcPr>
          <w:p>
            <w:pPr>
              <w:jc w:val="left"/>
            </w:pPr>
            <w:r>
              <w:rPr>
                <w:rFonts w:ascii="Calibri" w:cs="Calibri" w:eastAsia="Calibri" w:hAnsi="Calibri"/>
                <w:b w:val="false"/>
                <w:bCs w:val="false"/>
                <w:color w:val="1A1A1A"/>
                <w:sz w:val="19"/>
                <w:szCs w:val="19"/>
              </w:rPr>
              <w:t xml:space="preserve">Sem conversão</w:t>
            </w:r>
          </w:p>
        </w:tc>
        <w:tc>
          <w:tcPr>
            <w:tcW w:type="dxa" w:w="1500"/>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37</w:t>
            </w:r>
          </w:p>
        </w:tc>
        <w:tc>
          <w:tcPr>
            <w:tcW w:type="dxa" w:w="1200"/>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60%</w:t>
            </w:r>
          </w:p>
        </w:tc>
        <w:tc>
          <w:tcPr>
            <w:tcW w:type="dxa" w:w="1726"/>
            <w:shd w:fill="F2F6FA" w:color="auto" w:val="clear"/>
            <w:tcMar>
              <w:top w:type="dxa" w:w="75"/>
              <w:left w:type="dxa" w:w="115"/>
              <w:bottom w:type="dxa" w:w="75"/>
              <w:right w:type="dxa" w:w="115"/>
            </w:tcMar>
            <w:vAlign w:val="center"/>
          </w:tcPr>
          <w:p>
            <w:pPr>
              <w:jc w:val="right"/>
            </w:pPr>
            <w:r>
              <w:rPr>
                <w:rFonts w:ascii="Calibri" w:cs="Calibri" w:eastAsia="Calibri" w:hAnsi="Calibri"/>
                <w:b w:val="false"/>
                <w:bCs w:val="false"/>
                <w:color w:val="1A1A1A"/>
                <w:sz w:val="19"/>
                <w:szCs w:val="19"/>
              </w:rPr>
              <w:t xml:space="preserve">—</w:t>
            </w:r>
          </w:p>
        </w:tc>
      </w:tr>
      <w:tr>
        <w:tc>
          <w:tcPr>
            <w:tcW w:type="dxa" w:w="4600"/>
            <w:shd w:fill="EAF1F8" w:color="auto" w:val="clear"/>
            <w:tcMar>
              <w:top w:type="dxa" w:w="75"/>
              <w:left w:type="dxa" w:w="115"/>
              <w:bottom w:type="dxa" w:w="75"/>
              <w:right w:type="dxa" w:w="115"/>
            </w:tcMar>
            <w:vAlign w:val="center"/>
          </w:tcPr>
          <w:p>
            <w:pPr>
              <w:jc w:val="left"/>
            </w:pPr>
            <w:r>
              <w:rPr>
                <w:rFonts w:ascii="Calibri" w:cs="Calibri" w:eastAsia="Calibri" w:hAnsi="Calibri"/>
                <w:b/>
                <w:bCs/>
                <w:color w:val="1A1A1A"/>
                <w:sz w:val="19"/>
                <w:szCs w:val="19"/>
              </w:rPr>
              <w:t xml:space="preserve">Total agendado</w:t>
            </w:r>
          </w:p>
        </w:tc>
        <w:tc>
          <w:tcPr>
            <w:tcW w:type="dxa" w:w="1500"/>
            <w:shd w:fill="EAF1F8" w:color="auto" w:val="clear"/>
            <w:tcMar>
              <w:top w:type="dxa" w:w="75"/>
              <w:left w:type="dxa" w:w="115"/>
              <w:bottom w:type="dxa" w:w="75"/>
              <w:right w:type="dxa" w:w="115"/>
            </w:tcMar>
            <w:vAlign w:val="center"/>
          </w:tcPr>
          <w:p>
            <w:pPr>
              <w:jc w:val="right"/>
            </w:pPr>
            <w:r>
              <w:rPr>
                <w:rFonts w:ascii="Calibri" w:cs="Calibri" w:eastAsia="Calibri" w:hAnsi="Calibri"/>
                <w:b/>
                <w:bCs/>
                <w:color w:val="1A1A1A"/>
                <w:sz w:val="19"/>
                <w:szCs w:val="19"/>
              </w:rPr>
              <w:t xml:space="preserve">62</w:t>
            </w:r>
          </w:p>
        </w:tc>
        <w:tc>
          <w:tcPr>
            <w:tcW w:type="dxa" w:w="1200"/>
            <w:shd w:fill="EAF1F8" w:color="auto" w:val="clear"/>
            <w:tcMar>
              <w:top w:type="dxa" w:w="75"/>
              <w:left w:type="dxa" w:w="115"/>
              <w:bottom w:type="dxa" w:w="75"/>
              <w:right w:type="dxa" w:w="115"/>
            </w:tcMar>
            <w:vAlign w:val="center"/>
          </w:tcPr>
          <w:p>
            <w:pPr>
              <w:jc w:val="right"/>
            </w:pPr>
            <w:r>
              <w:rPr>
                <w:rFonts w:ascii="Calibri" w:cs="Calibri" w:eastAsia="Calibri" w:hAnsi="Calibri"/>
                <w:b/>
                <w:bCs/>
                <w:color w:val="1A1A1A"/>
                <w:sz w:val="19"/>
                <w:szCs w:val="19"/>
              </w:rPr>
              <w:t xml:space="preserve">100%</w:t>
            </w:r>
          </w:p>
        </w:tc>
        <w:tc>
          <w:tcPr>
            <w:tcW w:type="dxa" w:w="1726"/>
            <w:shd w:fill="EAF1F8" w:color="auto" w:val="clear"/>
            <w:tcMar>
              <w:top w:type="dxa" w:w="75"/>
              <w:left w:type="dxa" w:w="115"/>
              <w:bottom w:type="dxa" w:w="75"/>
              <w:right w:type="dxa" w:w="115"/>
            </w:tcMar>
            <w:vAlign w:val="center"/>
          </w:tcPr>
          <w:p>
            <w:pPr>
              <w:jc w:val="right"/>
            </w:pPr>
            <w:r>
              <w:rPr>
                <w:rFonts w:ascii="Calibri" w:cs="Calibri" w:eastAsia="Calibri" w:hAnsi="Calibri"/>
                <w:b/>
                <w:bCs/>
                <w:color w:val="1A1A1A"/>
                <w:sz w:val="19"/>
                <w:szCs w:val="19"/>
              </w:rPr>
              <w:t xml:space="preserve"/>
            </w:r>
          </w:p>
        </w:tc>
      </w:tr>
    </w:tbl>
    <w:tbl>
      <w:tblPr>
        <w:tblW w:type="dxa" w:w="9026"/>
        <w:tblBorders>
          <w:top w:val="none" w:color="FFFFFF" w:sz="0"/>
          <w:left w:val="single" w:color="12395B" w:sz="24"/>
          <w:bottom w:val="none" w:color="FFFFFF" w:sz="0"/>
          <w:right w:val="none" w:color="FFFFFF" w:sz="0"/>
          <w:insideH w:val="none" w:color="FFFFFF" w:sz="0"/>
          <w:insideV w:val="none" w:color="FFFFFF" w:sz="0"/>
        </w:tblBorders>
      </w:tblPr>
      <w:tblGrid>
        <w:gridCol w:w="9026"/>
      </w:tblGrid>
      <w:tr>
        <w:tc>
          <w:tcPr>
            <w:tcW w:type="dxa" w:w="9026"/>
            <w:shd w:fill="EAF1F8" w:color="auto" w:val="clear"/>
            <w:tcMar>
              <w:top w:type="dxa" w:w="150"/>
              <w:left w:type="dxa" w:w="230"/>
              <w:bottom w:type="dxa" w:w="150"/>
              <w:right w:type="dxa" w:w="230"/>
            </w:tcMar>
          </w:tcPr>
          <w:p>
            <w:pPr>
              <w:spacing w:after="80" w:before="0"/>
            </w:pPr>
            <w:r>
              <w:rPr>
                <w:rFonts w:ascii="Calibri" w:cs="Calibri" w:eastAsia="Calibri" w:hAnsi="Calibri"/>
                <w:i w:val="false"/>
                <w:iCs w:val="false"/>
                <w:color w:val="1A1A1A"/>
                <w:sz w:val="19"/>
                <w:szCs w:val="19"/>
              </w:rPr>
              <w:t xml:space="preserve">Direta: o lead agendou com o bot e a venda saiu com a etiqueta do bot — o bot fechou e recebeu a atribuição.</w:t>
            </w:r>
          </w:p>
          <w:p>
            <w:pPr>
              <w:spacing w:after="80" w:before="0"/>
            </w:pPr>
            <w:r>
              <w:rPr>
                <w:rFonts w:ascii="Calibri" w:cs="Calibri" w:eastAsia="Calibri" w:hAnsi="Calibri"/>
                <w:i w:val="false"/>
                <w:iCs w:val="false"/>
                <w:color w:val="1A1A1A"/>
                <w:sz w:val="19"/>
                <w:szCs w:val="19"/>
              </w:rPr>
              <w:t xml:space="preserve">Indireta: o lead agendou com o bot, comprou dentro do período, mas a venda não carrega a etiqueta — o bot trabalhou o lead e a atribuição ficou com outro caminho. É o grupo maior, 15 dos 21 compradores.</w:t>
            </w:r>
          </w:p>
          <w:p>
            <w:pPr>
              <w:spacing w:after="0" w:before="0"/>
            </w:pPr>
            <w:r>
              <w:rPr>
                <w:rFonts w:ascii="Calibri" w:cs="Calibri" w:eastAsia="Calibri" w:hAnsi="Calibri"/>
                <w:i w:val="false"/>
                <w:iCs w:val="false"/>
                <w:color w:val="1A1A1A"/>
                <w:sz w:val="19"/>
                <w:szCs w:val="19"/>
              </w:rPr>
              <w:t xml:space="preserve">Acesso liberado sem venda localizada: 4 leads aparecem como alunos ativos na plataforma (Acesso completo – 1 año, criados entre 15 e 17/07), mas não têm transação correspondente em nenhuma das três bases. Vale conferir por qual canal entraram.</w:t>
            </w:r>
          </w:p>
        </w:tc>
      </w:tr>
    </w:tbl>
    <w:p>
      <w:pPr>
        <w:spacing w:after="0" w:before="260"/>
      </w:pPr>
      <w:r>
        <w:rPr>
          <w:rFonts w:ascii="Calibri" w:cs="Calibri" w:eastAsia="Calibri" w:hAnsi="Calibri"/>
          <w:i/>
          <w:iCs/>
          <w:color w:val="6B7480"/>
          <w:sz w:val="16"/>
          <w:szCs w:val="16"/>
        </w:rPr>
        <w:t xml:space="preserve">Metodologia do cruzamento: leads confrontados com as bases de venda e com a lista de alunos por e-mail e por telefone (comparação pelos últimos dígitos, para contornar as diferenças de código de país). Todos os 21 casos de compra foram conferidos individualmente pelo nome do comprador. Dos 62 leads, 29 não têm e-mail registrado e foram cruzados apenas por telefone.</w:t>
      </w:r>
    </w:p>
    <w:p>
      <w:pPr>
        <w:pBdr>
          <w:top w:val="single" w:color="D6DEE7" w:sz="4" w:space="8"/>
        </w:pBdr>
        <w:spacing w:before="200"/>
      </w:pPr>
      <w:r>
        <w:rPr>
          <w:rFonts w:ascii="Calibri" w:cs="Calibri" w:eastAsia="Calibri" w:hAnsi="Calibri"/>
          <w:i/>
          <w:iCs/>
          <w:color w:val="6B7480"/>
          <w:sz w:val="15"/>
          <w:szCs w:val="15"/>
        </w:rPr>
        <w:t xml:space="preserve">A etiqueta “Aw” e o nome “Etapa VIP” são reaproveitados entre edições do lançamento — na Oneinfinite há vendas com essa etiqueta desde março de 2026. Por isso o recorte por data do carrinho é indispensável: sem ele, o total sobe de 123 para 205. Faturamento bruto = valor pago pelo cliente; líquido = após taxas da plataforma.</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2026-07-24T03:11:49.492Z</dcterms:created>
  <dcterms:modified xsi:type="dcterms:W3CDTF">2026-07-24T03:11:49.492Z</dcterms:modified>
</cp:coreProperties>
</file>

<file path=docProps/custom.xml><?xml version="1.0" encoding="utf-8"?>
<Properties xmlns="http://schemas.openxmlformats.org/officeDocument/2006/custom-properties" xmlns:vt="http://schemas.openxmlformats.org/officeDocument/2006/docPropsVTypes"/>
</file>