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Gabriel, acho que o maior ponto é mostrar que  o objetivo do acelerador de margem é fazer a pessoa ter mais lucro, então consequentemente ela vai fazer um investimento, só que esse investimento vai trazer um retorno muito maior do que o que foi investido de fato, que visto que 95% das empresas pagam mais imposto que deveria e normalmente são economias que variam de 20 a 60% do imposto, isso tem um impacto direto no caixa da pessoa, então essa é a melhor forma de quebrar a objeção.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confiança, a gente pode trazer provas sociais, pode trazer história da Naira, pode trazer a quantidade de alunos já com resultado, quantidade de tempo no mercado com a postura ilibada, dá para trazer várias argumentações assim.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“Já tem contador”, independente de já ter contador, a maioria dos contadores não são estratégias tributários, então são coisas totalmente diferentes, a gente não quer que a pessoa substitua contabilidade, muito pelo contrário, isso é responsabilidade empresária de aprender estratégias e levar isso para contabilidade, então essa acho que são as melhores decisões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 questão de decidir depois é a pessoa saber que esse desconto que ela já tem ali, que é de 30%, que a gente faz ancoragem de 997% por 697%, fica disponível só de imediato, assim que ela comprou o lucro blindado, depois esse desconto acaba, então ela tem que realmente entender que não dá para deixar para decidir depois, comprar ali naquele momento para garantir 30% de desconto.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