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color w:val="auto"/>
        </w:rPr>
      </w:pPr>
      <w:r>
        <w:rPr>
          <w:bCs/>
          <w:smallCaps/>
          <w:color w:val="auto"/>
          <w:sz w:val="24"/>
          <w:szCs w:val="24"/>
          <w:lang w:eastAsia="en-US"/>
        </w:rPr>
        <w:t>Reconhecimento de Padrões</w:t>
      </w:r>
      <w:r>
        <w:rPr>
          <w:color w:val="auto"/>
        </w:rPr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>
          <w:color w:val="auto"/>
        </w:rPr>
      </w:pPr>
      <w:r>
        <w:rPr>
          <w:bCs/>
          <w:color w:val="auto"/>
          <w:sz w:val="34"/>
          <w:szCs w:val="34"/>
          <w:lang w:eastAsia="en-US"/>
        </w:rPr>
        <w:t>R</w:t>
      </w:r>
      <w:r>
        <w:rPr>
          <w:bCs/>
          <w:smallCaps/>
          <w:color w:val="auto"/>
          <w:sz w:val="34"/>
          <w:szCs w:val="34"/>
          <w:lang w:eastAsia="en-US"/>
        </w:rPr>
        <w:t xml:space="preserve">elatório </w:t>
      </w:r>
      <w:r>
        <w:rPr>
          <w:bCs/>
          <w:smallCaps/>
          <w:color w:val="auto"/>
          <w:sz w:val="34"/>
          <w:szCs w:val="34"/>
          <w:lang w:eastAsia="en-US"/>
        </w:rPr>
        <w:t>PCA Faces Olivetti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>04</w:t>
      </w:r>
      <w:r>
        <w:rPr>
          <w:sz w:val="18"/>
          <w:szCs w:val="18"/>
          <w:lang w:eastAsia="en-US"/>
        </w:rPr>
        <w:t xml:space="preserve"> de </w:t>
      </w:r>
      <w:r>
        <w:rPr>
          <w:sz w:val="18"/>
          <w:szCs w:val="18"/>
          <w:lang w:eastAsia="en-US"/>
        </w:rPr>
        <w:t xml:space="preserve">out </w:t>
      </w:r>
      <w:r>
        <w:rPr>
          <w:sz w:val="18"/>
          <w:szCs w:val="18"/>
          <w:lang w:eastAsia="en-US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/>
        <w:t xml:space="preserve">Para esse exercício, utilizou-se da base de dado Olivetti, importadas utilizando o </w:t>
      </w:r>
      <w:r>
        <w:rPr>
          <w:i/>
          <w:iCs/>
        </w:rPr>
        <w:t>SkLearn:</w:t>
      </w:r>
    </w:p>
    <w:p>
      <w:pPr>
        <w:pStyle w:val="Normal"/>
        <w:spacing w:before="0" w:after="0"/>
        <w:rPr>
          <w:rFonts w:ascii="Tlwg Typist" w:hAnsi="Tlwg Typist"/>
          <w:b w:val="false"/>
          <w:i/>
          <w:i/>
          <w:iCs/>
          <w:color w:val="000000"/>
          <w:sz w:val="17"/>
          <w:szCs w:val="22"/>
          <w:highlight w:val="white"/>
        </w:rPr>
      </w:pP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 xml:space="preserve">&gt; </w:t>
      </w:r>
      <w:r>
        <w:rPr>
          <w:rFonts w:ascii="Tlwg Typist" w:hAnsi="Tlwg Typist"/>
          <w:b w:val="false"/>
          <w:i/>
          <w:iCs/>
          <w:color w:val="C586C0"/>
          <w:sz w:val="17"/>
          <w:szCs w:val="22"/>
          <w:highlight w:val="white"/>
        </w:rPr>
        <w:t>from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sklearn.datasets </w:t>
      </w:r>
      <w:r>
        <w:rPr>
          <w:rFonts w:ascii="Tlwg Typist" w:hAnsi="Tlwg Typist"/>
          <w:b w:val="false"/>
          <w:i/>
          <w:iCs/>
          <w:color w:val="C586C0"/>
          <w:sz w:val="17"/>
          <w:szCs w:val="22"/>
          <w:highlight w:val="white"/>
        </w:rPr>
        <w:t>import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fetch_olivetti_faces</w:t>
      </w:r>
    </w:p>
    <w:p>
      <w:pPr>
        <w:pStyle w:val="Normal"/>
        <w:spacing w:before="0" w:after="0"/>
        <w:rPr>
          <w:rFonts w:ascii="Tlwg Typist" w:hAnsi="Tlwg Typist"/>
          <w:b w:val="false"/>
          <w:i/>
          <w:i/>
          <w:iCs/>
          <w:color w:val="000000"/>
          <w:sz w:val="17"/>
          <w:szCs w:val="22"/>
          <w:highlight w:val="white"/>
        </w:rPr>
      </w:pP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&gt; faces, _ 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fetch_olivetti_faces(</w:t>
      </w:r>
      <w:r>
        <w:rPr>
          <w:rFonts w:ascii="Tlwg Typist" w:hAnsi="Tlwg Typist"/>
          <w:b w:val="false"/>
          <w:i/>
          <w:iCs/>
          <w:color w:val="9CDCFE"/>
          <w:sz w:val="17"/>
          <w:szCs w:val="22"/>
          <w:highlight w:val="white"/>
        </w:rPr>
        <w:t>return_X_y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569CD6"/>
          <w:sz w:val="17"/>
          <w:szCs w:val="22"/>
          <w:highlight w:val="white"/>
        </w:rPr>
        <w:t>True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, </w:t>
      </w:r>
      <w:r>
        <w:rPr>
          <w:rFonts w:ascii="Tlwg Typist" w:hAnsi="Tlwg Typist"/>
          <w:b w:val="false"/>
          <w:i/>
          <w:iCs/>
          <w:color w:val="9CDCFE"/>
          <w:sz w:val="17"/>
          <w:szCs w:val="22"/>
          <w:highlight w:val="white"/>
        </w:rPr>
        <w:t>shuffle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569CD6"/>
          <w:sz w:val="17"/>
          <w:szCs w:val="22"/>
          <w:highlight w:val="white"/>
        </w:rPr>
        <w:t>False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Tlwg Typist" w:hAnsi="Tlwg Typist"/>
          <w:b w:val="false"/>
          <w:i/>
          <w:i/>
          <w:iCs/>
          <w:color w:val="000000"/>
          <w:sz w:val="17"/>
          <w:szCs w:val="22"/>
          <w:highlight w:val="white"/>
        </w:rPr>
      </w:pP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 xml:space="preserve">&gt; 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n_samples, n_features 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faces.shape</w:t>
      </w:r>
    </w:p>
    <w:p>
      <w:pPr>
        <w:pStyle w:val="TextBody"/>
        <w:spacing w:before="0" w:after="0"/>
        <w:rPr>
          <w:i/>
          <w:i/>
          <w:iCs/>
          <w:sz w:val="20"/>
          <w:szCs w:val="22"/>
        </w:rPr>
      </w:pPr>
      <w:r>
        <w:rPr>
          <w:i/>
          <w:iCs/>
          <w:sz w:val="20"/>
          <w:szCs w:val="22"/>
        </w:rPr>
      </w:r>
    </w:p>
    <w:p>
      <w:pPr>
        <w:pStyle w:val="TextBody"/>
        <w:rPr/>
      </w:pPr>
      <w:r>
        <w:rPr>
          <w:i w:val="false"/>
          <w:iCs w:val="false"/>
        </w:rPr>
        <w:t>Uma das 400 faces d</w:t>
      </w:r>
      <w:r>
        <w:rPr>
          <w:i w:val="false"/>
          <w:iCs w:val="false"/>
          <w:sz w:val="24"/>
          <w:szCs w:val="22"/>
          <w:lang w:eastAsia="en-US"/>
        </w:rPr>
        <w:t>a base de dados</w:t>
      </w:r>
      <w:r>
        <w:rPr>
          <w:i w:val="false"/>
          <w:iCs w:val="false"/>
        </w:rPr>
        <w:t xml:space="preserve"> foi visualizada, após sua centralização:</w:t>
      </w:r>
    </w:p>
    <w:p>
      <w:pPr>
        <w:pStyle w:val="TextBody"/>
        <w:jc w:val="center"/>
        <w:rPr/>
      </w:pPr>
      <w:r>
        <w:rPr>
          <w:i w:val="false"/>
          <w:iCs w:val="false"/>
        </w:rPr>
        <w:drawing>
          <wp:inline distT="0" distB="0" distL="0" distR="0">
            <wp:extent cx="2028825" cy="198564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294" t="7378" r="16920" b="5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</w:rPr>
        <w:t xml:space="preserve">O y foi gerado conforme explicado na guia. </w:t>
      </w:r>
      <w:r>
        <w:rPr>
          <w:i w:val="false"/>
          <w:iCs w:val="false"/>
        </w:rPr>
        <w:t xml:space="preserve">Em seguida, utilizando a </w:t>
      </w:r>
      <w:r>
        <w:rPr>
          <w:i w:val="false"/>
          <w:iCs w:val="false"/>
          <w:sz w:val="24"/>
          <w:szCs w:val="22"/>
          <w:lang w:eastAsia="en-US"/>
        </w:rPr>
        <w:t>função</w:t>
      </w:r>
      <w:r>
        <w:rPr>
          <w:i w:val="false"/>
          <w:iCs w:val="false"/>
        </w:rPr>
        <w:t xml:space="preserve"> PCA do </w:t>
      </w:r>
      <w:r>
        <w:rPr>
          <w:i/>
          <w:iCs/>
        </w:rPr>
        <w:t>SkLearn</w:t>
      </w:r>
      <w:r>
        <w:rPr>
          <w:i w:val="false"/>
          <w:iCs w:val="false"/>
        </w:rPr>
        <w:t>, fez a redução de dimensionalidades do problema:</w:t>
      </w:r>
    </w:p>
    <w:p>
      <w:pPr>
        <w:pStyle w:val="Normal"/>
        <w:spacing w:before="0" w:after="0"/>
        <w:jc w:val="both"/>
        <w:rPr>
          <w:rFonts w:ascii="Tlwg Typist" w:hAnsi="Tlwg Typist"/>
          <w:b w:val="false"/>
          <w:i/>
          <w:i/>
          <w:iCs/>
          <w:color w:val="000000"/>
          <w:sz w:val="17"/>
          <w:szCs w:val="22"/>
          <w:highlight w:val="white"/>
        </w:rPr>
      </w:pP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 xml:space="preserve">&gt; </w:t>
      </w:r>
      <w:r>
        <w:rPr>
          <w:rFonts w:ascii="Tlwg Typist" w:hAnsi="Tlwg Typist"/>
          <w:b w:val="false"/>
          <w:i/>
          <w:iCs/>
          <w:color w:val="C586C0"/>
          <w:sz w:val="17"/>
          <w:szCs w:val="22"/>
          <w:highlight w:val="white"/>
        </w:rPr>
        <w:t>from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sklearn.decomposition </w:t>
      </w:r>
      <w:r>
        <w:rPr>
          <w:rFonts w:ascii="Tlwg Typist" w:hAnsi="Tlwg Typist"/>
          <w:b w:val="false"/>
          <w:i/>
          <w:iCs/>
          <w:color w:val="C586C0"/>
          <w:sz w:val="17"/>
          <w:szCs w:val="22"/>
          <w:highlight w:val="white"/>
        </w:rPr>
        <w:t>import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PCA</w:t>
      </w:r>
    </w:p>
    <w:p>
      <w:pPr>
        <w:pStyle w:val="Normal"/>
        <w:spacing w:before="0" w:after="0"/>
        <w:jc w:val="both"/>
        <w:rPr>
          <w:rFonts w:ascii="Tlwg Typist" w:hAnsi="Tlwg Typist"/>
          <w:b w:val="false"/>
          <w:i/>
          <w:i/>
          <w:iCs/>
          <w:color w:val="000000"/>
          <w:sz w:val="17"/>
          <w:szCs w:val="22"/>
          <w:highlight w:val="white"/>
        </w:rPr>
      </w:pP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 xml:space="preserve">&gt; 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pca 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PCA(</w:t>
      </w:r>
      <w:r>
        <w:rPr>
          <w:rFonts w:ascii="Tlwg Typist" w:hAnsi="Tlwg Typist"/>
          <w:b w:val="false"/>
          <w:i/>
          <w:iCs/>
          <w:color w:val="9CDCFE"/>
          <w:sz w:val="17"/>
          <w:szCs w:val="22"/>
          <w:highlight w:val="white"/>
        </w:rPr>
        <w:t>n_components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B5CEA8"/>
          <w:sz w:val="17"/>
          <w:szCs w:val="22"/>
          <w:highlight w:val="white"/>
        </w:rPr>
        <w:t>2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)</w:t>
      </w:r>
    </w:p>
    <w:p>
      <w:pPr>
        <w:pStyle w:val="Normal"/>
        <w:spacing w:lineRule="atLeast" w:line="285" w:before="0" w:after="159"/>
        <w:rPr>
          <w:rFonts w:ascii="Tlwg Typist" w:hAnsi="Tlwg Typist"/>
          <w:b w:val="false"/>
          <w:i/>
          <w:i/>
          <w:iCs/>
          <w:color w:val="000000"/>
          <w:sz w:val="17"/>
          <w:szCs w:val="22"/>
          <w:highlight w:val="white"/>
        </w:rPr>
      </w:pP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 xml:space="preserve">&gt; 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pcaFaces </w:t>
      </w:r>
      <w:r>
        <w:rPr>
          <w:rFonts w:ascii="Tlwg Typist" w:hAnsi="Tlwg Typist"/>
          <w:b w:val="false"/>
          <w:i/>
          <w:iCs/>
          <w:color w:val="D4D4D4"/>
          <w:sz w:val="17"/>
          <w:szCs w:val="22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7"/>
          <w:szCs w:val="22"/>
          <w:highlight w:val="white"/>
        </w:rPr>
        <w:t> pca.fit_transform(faces)</w:t>
      </w:r>
    </w:p>
    <w:p>
      <w:pPr>
        <w:pStyle w:val="TextBody"/>
        <w:jc w:val="both"/>
        <w:rPr/>
      </w:pPr>
      <w:r>
        <w:rPr>
          <w:i w:val="false"/>
          <w:iCs w:val="false"/>
        </w:rPr>
        <w:t>S</w:t>
      </w:r>
      <w:r>
        <w:rPr>
          <w:i w:val="false"/>
          <w:iCs w:val="false"/>
        </w:rPr>
        <w:t>endo assim, foi possível visualizar os 2 atributos dos 30 primeiros componentes do nosso banco de dados:</w:t>
      </w:r>
    </w:p>
    <w:p>
      <w:pPr>
        <w:pStyle w:val="TextBody"/>
        <w:jc w:val="center"/>
        <w:rPr/>
      </w:pPr>
      <w:r>
        <w:rPr>
          <w:i w:val="false"/>
          <w:iCs w:val="false"/>
        </w:rPr>
        <w:drawing>
          <wp:inline distT="0" distB="0" distL="0" distR="0">
            <wp:extent cx="2479040" cy="185928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</w:rPr>
        <w:t>Em seguida, criou-se uma dinâmica em que se classificava as imagens. Nessa dinâmica, buscou-se estudar o impacto de como uma dimensionalidade diferente pode impactar a classificação. A classificação usada foi a KDE, desenvolvida em exercícios anteriores.</w:t>
      </w:r>
    </w:p>
    <w:p>
      <w:pPr>
        <w:pStyle w:val="TextBody"/>
        <w:jc w:val="both"/>
        <w:rPr/>
      </w:pPr>
      <w:r>
        <w:rPr>
          <w:i w:val="false"/>
          <w:iCs w:val="false"/>
        </w:rPr>
        <w:t xml:space="preserve">Sendo assim, criou-se um ciclo </w:t>
      </w:r>
      <w:r>
        <w:rPr>
          <w:i/>
          <w:iCs/>
        </w:rPr>
        <w:t>for</w:t>
      </w:r>
      <w:r>
        <w:rPr>
          <w:i w:val="false"/>
          <w:iCs w:val="false"/>
        </w:rPr>
        <w:t xml:space="preserve"> em que, a cada </w:t>
      </w:r>
      <w:r>
        <w:rPr>
          <w:i w:val="false"/>
          <w:iCs w:val="false"/>
          <w:sz w:val="24"/>
          <w:szCs w:val="22"/>
          <w:lang w:eastAsia="en-US"/>
        </w:rPr>
        <w:t xml:space="preserve">iteração, </w:t>
      </w:r>
      <w:r>
        <w:rPr>
          <w:i w:val="false"/>
          <w:iCs w:val="false"/>
          <w:sz w:val="24"/>
          <w:szCs w:val="22"/>
          <w:lang w:eastAsia="en-US"/>
        </w:rPr>
        <w:t>se faz um PCA com dimensões diferentes, variando de 1 até 100. Para cada dimensão analisada,</w:t>
      </w:r>
      <w:r>
        <w:rPr>
          <w:i w:val="false"/>
          <w:iCs w:val="false"/>
        </w:rPr>
        <w:t xml:space="preserve"> se dividia os dados em 50% para treino e 50% para teste </w:t>
      </w:r>
      <w:r>
        <w:rPr>
          <w:i w:val="false"/>
          <w:iCs w:val="false"/>
        </w:rPr>
        <w:t>de forma randômica e se fazia a classificação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Para cada dimensão analisada, se fez esse processo 10 vezes e salvou os resultados da acurácia média para cada dimensão do PCA. O gráfico abaixo mostra esses resultados.</w:t>
      </w:r>
      <w:r>
        <w:rPr>
          <w:i w:val="false"/>
          <w:iCs w:val="false"/>
        </w:rPr>
        <w:t xml:space="preserve"> </w:t>
      </w:r>
    </w:p>
    <w:p>
      <w:pPr>
        <w:pStyle w:val="TextBody"/>
        <w:jc w:val="center"/>
        <w:rPr/>
      </w:pPr>
      <w:r>
        <w:rPr>
          <w:i w:val="false"/>
          <w:iCs w:val="false"/>
        </w:rPr>
        <w:drawing>
          <wp:inline distT="0" distB="0" distL="0" distR="0">
            <wp:extent cx="2524760" cy="189357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</w:rPr>
        <w:t>F</w:t>
      </w:r>
      <w:r>
        <w:rPr>
          <w:i w:val="false"/>
          <w:iCs w:val="false"/>
        </w:rPr>
        <w:t xml:space="preserve">oi possível verificar que o melhor resultado foi quando utilizamos </w:t>
      </w:r>
      <w:r>
        <w:rPr>
          <w:i w:val="false"/>
          <w:iCs w:val="false"/>
          <w:sz w:val="24"/>
          <w:szCs w:val="22"/>
          <w:lang w:eastAsia="en-US"/>
        </w:rPr>
        <w:t>9</w:t>
      </w:r>
      <w:r>
        <w:rPr>
          <w:i w:val="false"/>
          <w:iCs w:val="false"/>
        </w:rPr>
        <w:t xml:space="preserve"> dimensões. Obtivemos uma acurácia de 84,3%. A matriz de confusão para um dos resultados obtidos pode ser visualizada abaixo:</w:t>
      </w:r>
    </w:p>
    <w:p>
      <w:pPr>
        <w:pStyle w:val="TextBody"/>
        <w:jc w:val="center"/>
        <w:rPr/>
      </w:pPr>
      <w:r>
        <w:rPr>
          <w:i w:val="false"/>
          <w:iCs w:val="false"/>
        </w:rPr>
        <w:drawing>
          <wp:inline distT="0" distB="0" distL="0" distR="0">
            <wp:extent cx="2708275" cy="204216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808" t="8429" r="14235" b="6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jc w:val="both"/>
        <w:rPr/>
      </w:pPr>
      <w:r>
        <w:rPr>
          <w:i w:val="false"/>
          <w:iCs w:val="false"/>
        </w:rPr>
        <w:t>P</w:t>
      </w:r>
      <w:r>
        <w:rPr>
          <w:i w:val="false"/>
          <w:iCs w:val="false"/>
        </w:rPr>
        <w:t>ara os atributos 21 e 1 o nosso algoritmo teve dificuldades, pois eles acabaram classificando esses atributos erroneamente algumas vezes.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 Typis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Application>LibreOffice/6.4.6.2$Linux_X86_64 LibreOffice_project/40$Build-2</Application>
  <Pages>2</Pages>
  <Words>277</Words>
  <Characters>1561</Characters>
  <CharactersWithSpaces>1821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2020-10-04T12:31:24Z</dcterms:created>
  <dc:creator>Gabriel Espeschit</dc:creator>
  <dc:description/>
  <dc:language>pt-BR</dc:language>
  <cp:lastModifiedBy>Gabriel Espeschit</cp:lastModifiedBy>
  <dcterms:modified xsi:type="dcterms:W3CDTF">2020-10-04T17:44:22Z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