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44"/>
        </w:rPr>
        <w:t>Manual de Engenharia de Software: Passo a Passo da Petland API (MVP)</w:t>
      </w:r>
    </w:p>
    <w:p>
      <w:pPr>
        <w:spacing w:after="480"/>
      </w:pPr>
      <w:r>
        <w:rPr>
          <w:i/>
          <w:color w:val="64748B"/>
          <w:sz w:val="21"/>
        </w:rPr>
        <w:t>Documento Unificado de Arquitetura, Pastas, Códigos, Swagger, Docker e Princípios SOLID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E293B"/>
          <w:sz w:val="30"/>
        </w:rPr>
        <w:t>1. Contexto Estratégico e Objetivo do Projeto</w:t>
      </w:r>
    </w:p>
    <w:p>
      <w:pPr>
        <w:spacing w:after="160" w:line="276" w:lineRule="auto"/>
      </w:pPr>
      <w:r>
        <w:rPr>
          <w:rFonts w:ascii="Arial" w:hAnsi="Arial"/>
        </w:rPr>
        <w:t>Este documento estabelece o roteiro completo, irrestrito e exaustivo para a construção e entrega do MVP da Petland API. Dentro do ecossistema do seu Calendário de Estudos (Bootcamp v6), este projeto atua como o alicerce técnico fundamental da Semana 1. O objetivo central da trilha é consolidar o seu perfil como Cloud-Native Java Architect, mirando o patamar sênior de remuneração (R$ 10k-15k em 36 meses). Como você já detém duas certificações AWS ativas (SAA-C03 e CLF-C02), o mercado exige uma fundação de código impecável para complementar seu perfil de infraestrutura elástica.</w:t>
      </w:r>
    </w:p>
    <w:p>
      <w:pPr>
        <w:spacing w:after="160" w:line="276" w:lineRule="auto"/>
      </w:pPr>
      <w:r>
        <w:rPr>
          <w:rFonts w:ascii="Arial" w:hAnsi="Arial"/>
        </w:rPr>
        <w:t>Por esse motivo, o Petland API foi isolado como um ecossistema monolítico simplificado. Antes de expor o seu aprendizado à complexidade de microsserviços distribuídos, sincronização de propriedades via redes em nuvem ou mensageria assíncrona (tecnologias que serão acopladas ao SafeWallet do segundo bloco em diante), o cérebro precisa exercitar o design de eclusas limpas em Java 21, a aplicação pragmática do Domain-Driven Design (DDD), os testes de isolamento rigorosos e os princípios SOLID. Este manual respeita o seu ritmo natural de entender o algoritmo e o design conceitual detalhadamente antes de iniciar a escrita mecânica do código.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E293B"/>
          <w:sz w:val="30"/>
        </w:rPr>
        <w:t>2. Gerenciamento de Dependências (pom.xml)</w:t>
      </w:r>
    </w:p>
    <w:p>
      <w:pPr>
        <w:spacing w:after="160" w:line="276" w:lineRule="auto"/>
      </w:pPr>
      <w:r>
        <w:rPr>
          <w:rFonts w:ascii="Arial" w:hAnsi="Arial"/>
        </w:rPr>
        <w:t>O primeiro passo prático é configurar o ecossistema de bibliotecas do Maven. Abra o arquivo pom.xml gerado na raiz limpa do seu repositório e estruture o bloco de propriedades e dependências. Abaixo está a listagem detalhada de cada biblioteca obrigatória e sua respectiva justificativa de engenharia: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Spring Boot Starter Data JPA: Fornece o motor de persistência relacional baseado no Hibernate, permitindo o acoplamento transparente com o PostgreSQL através do isolamento de Repositories por Aggregate Root.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Spring Boot Starter Validation: Habilita as anotações do Jakarta Validation (@Valid, @NotBlank, @Size) para criar a primeira eclusa perimetral de dados na camada Web.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Spring Boot Starter Web: Provê o servidor embutido Tomcat e o suporte à arquitetura MVC para exposição dos REST Controllers.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Springdoc OpenAPI Starter WebMVC UI (Swagger): Biblioteca mandatória que intercepta os metadados do Spring e gera a documentação interativa automatizada na rota web, eliminando dependências de ferramentas externas de teste.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Spring Boot Starter Actuator: Ativa os endpoints de telemetria nativos (/actuator/prometheus) para monitoramento em tempo real da saúde do runtime e da JVM.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PostgreSQL Driver: Driver JDBC oficial para permitir a conexão estável e transacional com o banco de dados relacional.</w:t>
      </w:r>
    </w:p>
    <w:p>
      <w:pPr>
        <w:spacing w:before="80" w:after="80" w:line="240" w:lineRule="auto"/>
        <w:ind w:left="360" w:right="360"/>
      </w:pPr>
      <w:r>
        <w:rPr>
          <w:rFonts w:ascii="Courier New" w:hAnsi="Courier New"/>
          <w:color w:val="0F172A"/>
          <w:sz w:val="18"/>
        </w:rPr>
        <w:t>&lt;dependencies&gt;</w:t>
        <w:br/>
        <w:t xml:space="preserve">    &lt;!-- Core Web e Validação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&lt;artifactId&gt;spring-boot-starter-web&lt;/artifactId&gt;</w:t>
        <w:br/>
        <w:t xml:space="preserve">    &lt;/dependency&gt;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&lt;artifactId&gt;spring-boot-starter-validation&lt;/artifactId&gt;</w:t>
        <w:br/>
        <w:t xml:space="preserve">    &lt;/dependency&gt;</w:t>
        <w:br/>
        <w:t xml:space="preserve">    </w:t>
        <w:br/>
        <w:t xml:space="preserve">    &lt;!-- Persistência Relacional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&lt;artifactId&gt;spring-boot-starter-data-jpa&lt;/artifactId&gt;</w:t>
        <w:br/>
        <w:t xml:space="preserve">    &lt;/dependency&gt;</w:t>
        <w:br/>
        <w:t xml:space="preserve">    &lt;dependency&gt;</w:t>
        <w:br/>
        <w:t xml:space="preserve">        &lt;groupId&gt;org.postgresql&lt;/groupId&gt;</w:t>
        <w:br/>
        <w:t xml:space="preserve">        &lt;artifactId&gt;postgresql&lt;/artifactId&gt;</w:t>
        <w:br/>
        <w:t xml:space="preserve">        &lt;scope&gt;runtime&lt;/scope&gt;</w:t>
        <w:br/>
        <w:t xml:space="preserve">    &lt;/dependency&gt;</w:t>
        <w:br/>
        <w:br/>
        <w:t xml:space="preserve">    &lt;!-- Documentação Integrada (Swagger / OpenAPI 3) --&gt;</w:t>
        <w:br/>
        <w:t xml:space="preserve">    &lt;dependency&gt;</w:t>
        <w:br/>
        <w:t xml:space="preserve">        &lt;groupId&gt;org.springdoc&lt;/groupId&gt;</w:t>
        <w:br/>
        <w:t xml:space="preserve">        &lt;artifactId&gt;springdoc-openapi-starter-webmvc-ui&lt;/artifactId&gt;</w:t>
        <w:br/>
        <w:t xml:space="preserve">        &lt;version&gt;2.5.0&lt;/version&gt;</w:t>
        <w:br/>
        <w:t xml:space="preserve">    &lt;/dependency&gt;</w:t>
        <w:br/>
        <w:br/>
        <w:t xml:space="preserve">    &lt;!-- Telemetria e Observabilidade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&lt;artifactId&gt;spring-boot-starter-actuator&lt;/artifactId&gt;</w:t>
        <w:br/>
        <w:t xml:space="preserve">    &lt;/dependency&gt;</w:t>
        <w:br/>
        <w:t xml:space="preserve">    &lt;dependency&gt;</w:t>
        <w:br/>
        <w:t xml:space="preserve">        &lt;groupId&gt;io.micrometer&lt;/groupId&gt;</w:t>
        <w:br/>
        <w:t xml:space="preserve">        &lt;artifactId&gt;micrometer-registry-prometheus&lt;/artifactId&gt;</w:t>
        <w:br/>
        <w:t xml:space="preserve">    &lt;/dependency&gt;</w:t>
        <w:br/>
        <w:br/>
        <w:t xml:space="preserve">    &lt;!-- Testes Automáticos --&gt;</w:t>
        <w:br/>
        <w:t xml:space="preserve">    &lt;dependency&gt;</w:t>
        <w:br/>
        <w:t xml:space="preserve">        &lt;groupId&gt;org.springframework.boot&lt;/groupId&gt;</w:t>
        <w:br/>
        <w:t xml:space="preserve">        &lt;artifactId&gt;spring-boot-starter-test&lt;/artifactId&gt;</w:t>
        <w:br/>
        <w:t xml:space="preserve">        &lt;scope&gt;test&lt;/scope&gt;</w:t>
        <w:br/>
        <w:t xml:space="preserve">    &lt;/dependency&gt;</w:t>
        <w:br/>
        <w:t>&lt;/dependencies&gt;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E293B"/>
          <w:sz w:val="30"/>
        </w:rPr>
        <w:t>3. Infraestrutura DevOps Local (Docker &amp; Compose)</w:t>
      </w:r>
    </w:p>
    <w:p>
      <w:pPr>
        <w:spacing w:after="160" w:line="276" w:lineRule="auto"/>
      </w:pPr>
      <w:r>
        <w:rPr>
          <w:rFonts w:ascii="Arial" w:hAnsi="Arial"/>
        </w:rPr>
        <w:t>Alinhado com as práticas modernas de Cloud-Native, o MVP deve ser empacotado e executado de forma idêntica ao ambiente produtivo, utilizando imagens Linux enxutas e blindadas contra elevação de privilégios cibernéticos.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0E7490"/>
          <w:sz w:val="25"/>
        </w:rPr>
        <w:t>O Arquivo Dockerfile (Single-Stage Seguro)</w:t>
      </w:r>
    </w:p>
    <w:p>
      <w:pPr>
        <w:spacing w:after="160" w:line="276" w:lineRule="auto"/>
      </w:pPr>
      <w:r>
        <w:rPr>
          <w:rFonts w:ascii="Arial" w:hAnsi="Arial"/>
        </w:rPr>
        <w:t>Crie um arquivo chamado exatamente 'Dockerfile' (sem extensão) na raiz do projeto. Ele utiliza a imagem de runtime Alpine para garantir um footprint mínimo de memória e cria explicitamente um usuário sem privilégios administrativos (non-root).</w:t>
      </w:r>
    </w:p>
    <w:p>
      <w:pPr>
        <w:spacing w:before="80" w:after="80" w:line="240" w:lineRule="auto"/>
        <w:ind w:left="360" w:right="360"/>
      </w:pPr>
      <w:r>
        <w:rPr>
          <w:rFonts w:ascii="Courier New" w:hAnsi="Courier New"/>
          <w:color w:val="0F172A"/>
          <w:sz w:val="18"/>
        </w:rPr>
        <w:t>FROM eclipse-temurin:21-jre-alpine</w:t>
        <w:br/>
        <w:br/>
        <w:t># Criação do grupo e usuário non-root para segurança do sistema de arquivos Unix</w:t>
        <w:br/>
        <w:t>RUN addgroup -S appgroup &amp;&amp; adduser -S appuser -G appgroup</w:t>
        <w:br/>
        <w:br/>
        <w:t>WORKDIR /app</w:t>
        <w:br/>
        <w:br/>
        <w:t># Copia o artefato pré-compilado pelo Maven</w:t>
        <w:br/>
        <w:t>COPY target/*.jar app.jar</w:t>
        <w:br/>
        <w:br/>
        <w:t># Transfere a propriedade dos arquivos para o usuário seguro</w:t>
        <w:br/>
        <w:t>RUN chown -R appuser:appgroup /app</w:t>
        <w:br/>
        <w:br/>
        <w:t># Alterna o contexto de execução para o usuário restrito</w:t>
        <w:br/>
        <w:t>USER appuser</w:t>
        <w:br/>
        <w:br/>
        <w:t>EXPOSE 8080</w:t>
        <w:br/>
        <w:br/>
        <w:t>ENTRYPOINT ["java", "-jar", "app.jar"]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0E7490"/>
          <w:sz w:val="25"/>
        </w:rPr>
        <w:t>O Arquivo docker-compose.yml</w:t>
      </w:r>
    </w:p>
    <w:p>
      <w:pPr>
        <w:spacing w:after="160" w:line="276" w:lineRule="auto"/>
      </w:pPr>
      <w:r>
        <w:rPr>
          <w:rFonts w:ascii="Arial" w:hAnsi="Arial"/>
        </w:rPr>
        <w:t>Crie o manifesto 'docker-compose.yml' na raiz do repositório. Ele orquestra exclusivamente os serviços do MVP (Aplicação + PostgreSQL), omitindo o Redis nesta fase para respeitar o escopo estrito da Semana 1. Ele implementa um bloco de 'healthcheck' nativo usando 'pg_isready' para impedir que o Spring Boot tente abrir conexões antes do banco de dados estar totalmente pronto para aceitar requisições transacionais.</w:t>
      </w:r>
    </w:p>
    <w:p>
      <w:pPr>
        <w:spacing w:before="80" w:after="80" w:line="240" w:lineRule="auto"/>
        <w:ind w:left="360" w:right="360"/>
      </w:pPr>
      <w:r>
        <w:rPr>
          <w:rFonts w:ascii="Courier New" w:hAnsi="Courier New"/>
          <w:color w:val="0F172A"/>
          <w:sz w:val="18"/>
        </w:rPr>
        <w:t>version: '3.8'</w:t>
        <w:br/>
        <w:br/>
        <w:t>services:</w:t>
        <w:br/>
        <w:t xml:space="preserve">  postgres-db:</w:t>
        <w:br/>
        <w:t xml:space="preserve">    image: postgres:15-alpine</w:t>
        <w:br/>
        <w:t xml:space="preserve">    container_name: petland_postgres</w:t>
        <w:br/>
        <w:t xml:space="preserve">    environment:</w:t>
        <w:br/>
        <w:t xml:space="preserve">      POSTGRES_USER: ${DB_USER:-petadmin}</w:t>
        <w:br/>
        <w:t xml:space="preserve">      POSTGRES_PASSWORD: ${DB_PASS:-petsecure123}</w:t>
        <w:br/>
        <w:t xml:space="preserve">      POSTGRES_DB: ${DB_NAME:-petland_db}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postgres_petland_data:/var/lib/postgresql/data</w:t>
        <w:br/>
        <w:t xml:space="preserve">    networks:</w:t>
        <w:br/>
        <w:t xml:space="preserve">      - petland-network</w:t>
        <w:br/>
        <w:t xml:space="preserve">    healthcheck:</w:t>
        <w:br/>
        <w:t xml:space="preserve">      test: ["CMD-SHELL", "pg_isready -U petadmin -d petland_db"]</w:t>
        <w:br/>
        <w:t xml:space="preserve">      interval: 5s</w:t>
        <w:br/>
        <w:t xml:space="preserve">      timeout: 5s</w:t>
        <w:br/>
        <w:t xml:space="preserve">      retries: 5</w:t>
        <w:br/>
        <w:br/>
        <w:t xml:space="preserve">  petland-app: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container_name: petland_api_container</w:t>
        <w:br/>
        <w:t xml:space="preserve">    ports:</w:t>
        <w:br/>
        <w:t xml:space="preserve">      - "8080:8080"</w:t>
        <w:br/>
        <w:t xml:space="preserve">    environment:</w:t>
        <w:br/>
        <w:t xml:space="preserve">      SPRING_DATASOURCE_URL: jdbc:postgresql://postgres-db:5432/petland_db</w:t>
        <w:br/>
        <w:t xml:space="preserve">      SPRING_DATASOURCE_USERNAME: petadmin</w:t>
        <w:br/>
        <w:t xml:space="preserve">      SPRING_DATASOURCE_PASSWORD: petsecure123</w:t>
        <w:br/>
        <w:t xml:space="preserve">      SPRING_JPA_HIBERNATE_DDL_AUTO: update</w:t>
        <w:br/>
        <w:t xml:space="preserve">    networks:</w:t>
        <w:br/>
        <w:t xml:space="preserve">      - petland-network</w:t>
        <w:br/>
        <w:t xml:space="preserve">    depends_on:</w:t>
        <w:br/>
        <w:t xml:space="preserve">      postgres-db:</w:t>
        <w:br/>
        <w:t xml:space="preserve">        condition: service_healthy</w:t>
        <w:br/>
        <w:br/>
        <w:t>volumes:</w:t>
        <w:br/>
        <w:t xml:space="preserve">  postgres_petland_data:</w:t>
        <w:br/>
        <w:br/>
        <w:t>networks:</w:t>
        <w:br/>
        <w:t xml:space="preserve">  petland-network:</w:t>
        <w:br/>
        <w:t xml:space="preserve">    driver: bridge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E293B"/>
          <w:sz w:val="30"/>
        </w:rPr>
        <w:t>4. Arquitetura de Pastas e Nomenclatura Estrita</w:t>
      </w:r>
    </w:p>
    <w:p>
      <w:pPr>
        <w:spacing w:after="160" w:line="276" w:lineRule="auto"/>
      </w:pPr>
      <w:r>
        <w:rPr>
          <w:rFonts w:ascii="Arial" w:hAnsi="Arial"/>
        </w:rPr>
        <w:t>Para suportar a manutenibilidade do código e respeitar os pilares do Domain-Driven Design (DDD) e os princípios SOLID, a árvore de pacotes sob 'src/main/java/br/com/petlandapi' deve ser estruturada de forma topologicamente limpa e sem acoplamentos circulares. Abaixo está o mapa completo de cada diretório e seu respectivo papel operacional:</w:t>
      </w:r>
    </w:p>
    <w:p>
      <w:pPr>
        <w:spacing w:after="80" w:line="276" w:lineRule="auto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br.com.petlandapi.api.controller:</w:t>
      </w:r>
    </w:p>
    <w:p>
      <w:pPr>
        <w:ind w:left="360"/>
      </w:pPr>
      <w:r>
        <w:t>Reúne as eclusas de entrada HTTP da aplicação. Os arquivos devem seguir o padrão 'NomeDoAgregadoController.java' (ex: PetController.java). Propósito: Interceptar a requisição web, validar o payload bruto na borda via @Valid, mapear a documentação do Swagger e delegar a execução diretamente para o Application Service correspondente. Aplica o SRP (Single Responsibility Principle): a única responsabilidade desta classe é gerenciar o protocolo de comunicação HTTP, retornando os status codes sem reter lógicas de decisão ou regras de negócio.</w:t>
      </w:r>
    </w:p>
    <w:p>
      <w:pPr>
        <w:spacing w:after="80" w:line="276" w:lineRule="auto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br.com.petlandapi.domain.model:</w:t>
      </w:r>
    </w:p>
    <w:p>
      <w:pPr>
        <w:ind w:left="360"/>
      </w:pPr>
      <w:r>
        <w:t>Centraliza as classes puras do domínio mapeadas. Entidades de negócio mutáveis viram classes JPA tradicionais annotadas com @Entity, enquanto objetos imutáveis puros e payloads de transporte viram Java Records (ex: PetSpecies.java como Sealed Interface/Enum, PetRequestDTO.java). Reúne a linguagem ubíqua e as regras intrínsecas que governam o negócio veterinário.</w:t>
      </w:r>
    </w:p>
    <w:p>
      <w:pPr>
        <w:spacing w:after="80" w:line="276" w:lineRule="auto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br.com.petlandapi.domain.dto:</w:t>
      </w:r>
    </w:p>
    <w:p>
      <w:pPr>
        <w:ind w:left="360"/>
      </w:pPr>
      <w:r>
        <w:t>Contém os Data Transfer Objects imutáveis. Nomenclatura: 'NomeDoAgregadoRequestDTO.java' e 'NomeDoAgregadoResponseDTO.java'. Implementados obrigatoriamente como Java Records, eliminando códigos boilerplate de getters, setters, equals ou hashcodes. São blindados por anotações do Jakarta Validation e documentados com Schemas do Swagger.</w:t>
      </w:r>
    </w:p>
    <w:p>
      <w:pPr>
        <w:spacing w:after="80" w:line="276" w:lineRule="auto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br.com.petlandapi.domain.service:</w:t>
      </w:r>
    </w:p>
    <w:p>
      <w:pPr>
        <w:ind w:left="360"/>
      </w:pPr>
      <w:r>
        <w:t>Contém as classes que executam as lógicas transacionais do negócio. Segregado estritamente em duas tipologias: (1) Application Services (ex: PetApplicationService.java), responsáveis apenas por orquestrar os fluxos de caso de uso (buscar entidade, acionar validador, salvar e disparar eventos) e (2) Domain Services (ex: PetDomainService.java), onde reside a lógica pura que opera sobre múltiplos agregados e que não pertence a uma entidade isolada. Camada blindada de imports HTTP.</w:t>
      </w:r>
    </w:p>
    <w:p>
      <w:pPr>
        <w:spacing w:after="80" w:line="276" w:lineRule="auto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br.com.petlandapi.domain.repository:</w:t>
      </w:r>
    </w:p>
    <w:p>
      <w:pPr>
        <w:ind w:left="360"/>
      </w:pPr>
      <w:r>
        <w:t>Centraliza os contratos de abstração de dados (interfaces). Nomenclatura: 'NomeDaRaizDoAgregadoRepository.java' (ex: PetRepository.java). Conforme o DDD, cria-se apenas uma interface de repositório por Aggregate Root (Raiz de Agregado). Entidades internas dependentes não possuem repositórios próprios, sendo acessadas através da sua raiz correspondente.</w:t>
      </w:r>
    </w:p>
    <w:p>
      <w:pPr>
        <w:spacing w:after="80" w:line="276" w:lineRule="auto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br.com.petlandapi.infra.config:</w:t>
      </w:r>
    </w:p>
    <w:p>
      <w:pPr>
        <w:ind w:left="360"/>
      </w:pPr>
      <w:r>
        <w:t>Armazena os beans de infraestrutura técnica e configurações globais do framework, isolando a tecnologia do domínio (ex: SwaggerConfig.java, ApplicationConfig.java).</w:t>
      </w:r>
    </w:p>
    <w:p>
      <w:pPr>
        <w:spacing w:after="80" w:line="276" w:lineRule="auto"/>
      </w:pPr>
      <w:r>
        <w:rPr>
          <w:rFonts w:ascii="Arial" w:hAnsi="Arial"/>
          <w:b/>
        </w:rPr>
        <w:t xml:space="preserve">• </w:t>
      </w:r>
      <w:r>
        <w:rPr>
          <w:rFonts w:ascii="Arial" w:hAnsi="Arial"/>
        </w:rPr>
        <w:t>br.com.petlandapi.infra.exception:</w:t>
      </w:r>
    </w:p>
    <w:p>
      <w:pPr>
        <w:ind w:left="360"/>
      </w:pPr>
      <w:r>
        <w:t>Contém o interceptor global de falhas da aplicação (GlobalExceptionHandler.java) anotado com @RestControllerAdvice, que captura exceções em runtime de qualquer camada e as traduz em estruturas limpas para o cliente, impedindo falhas de vazamento de metadados técnicos (Information Disclosure).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E293B"/>
          <w:sz w:val="30"/>
        </w:rPr>
        <w:t>5. Desenvolvimento Passo a Passo e Aplicação Prática</w:t>
      </w:r>
    </w:p>
    <w:p>
      <w:pPr>
        <w:spacing w:after="160" w:line="276" w:lineRule="auto"/>
      </w:pPr>
      <w:r>
        <w:rPr>
          <w:rFonts w:ascii="Arial" w:hAnsi="Arial"/>
        </w:rPr>
        <w:t>Como você prefere entender o algoritmo e o design conceitual detalhadamente antes de abrir a IDE, siga rigorosamente a ordem de construção de baixo para cima (do domínio puro para a borda HTTP), aplicando as diretrizes abaixo: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0E7490"/>
          <w:sz w:val="25"/>
        </w:rPr>
        <w:t>Passo 1: Escrevendo o Domínio Imutável (Java Records e Sealed Classes)</w:t>
      </w:r>
    </w:p>
    <w:p>
      <w:pPr>
        <w:spacing w:after="160" w:line="276" w:lineRule="auto"/>
      </w:pPr>
      <w:r>
        <w:rPr>
          <w:rFonts w:ascii="Arial" w:hAnsi="Arial"/>
        </w:rPr>
        <w:t>Inicie criando os modelos puros. As entidades de entrada devem utilizar Java Records com compact constructors para eclusas rápidas de dados. Abaixo está o exemplo do arquivo 'PetRequestDTO.java' aplicando anotações de validação e a documentação embutida do Swagger OpenAPI:</w:t>
      </w:r>
    </w:p>
    <w:p>
      <w:pPr>
        <w:spacing w:before="80" w:after="80" w:line="240" w:lineRule="auto"/>
        <w:ind w:left="360" w:right="360"/>
      </w:pPr>
      <w:r>
        <w:rPr>
          <w:rFonts w:ascii="Courier New" w:hAnsi="Courier New"/>
          <w:color w:val="0F172A"/>
          <w:sz w:val="18"/>
        </w:rPr>
        <w:t>package br.com.petlandapi.domain.dto;</w:t>
        <w:br/>
        <w:br/>
        <w:t>import io.swagger.v3.oas.annotations.media.Schema;</w:t>
        <w:br/>
        <w:t>import jakarta.validation.constraints.NotBlank;</w:t>
        <w:br/>
        <w:t>import jakarta.validation.constraints.Size;</w:t>
        <w:br/>
        <w:br/>
        <w:t>@Schema(description = "Contrato de dados imutável para a eclusa de cadastro de animais")</w:t>
        <w:br/>
        <w:t>public record PetRequestDTO(</w:t>
        <w:br/>
        <w:t xml:space="preserve">    </w:t>
        <w:br/>
        <w:t xml:space="preserve">    @Schema(description = "Nome do animal de estimação", example = "Max", requiredMode = Schema.RequiredMode.REQUIRED)</w:t>
        <w:br/>
        <w:t xml:space="preserve">    @NotBlank(message = "O nome do animal não pode ser nulo ou em branco")</w:t>
        <w:br/>
        <w:t xml:space="preserve">    @Size(min = 2, max = 50, message = "O nome deve possuir entre 2 e 50 caracteres")</w:t>
        <w:br/>
        <w:t xml:space="preserve">    String name,</w:t>
        <w:br/>
        <w:t xml:space="preserve">    </w:t>
        <w:br/>
        <w:t xml:space="preserve">    @Schema(description = "Espécie restrita do animal", example = "DOG", allowableValues = {"DOG", "CAT", "BIRD"})</w:t>
        <w:br/>
        <w:t xml:space="preserve">    @NotBlank(message = "A espécie do animal é obrigatória")</w:t>
        <w:br/>
        <w:t xml:space="preserve">    String species,</w:t>
        <w:br/>
        <w:t xml:space="preserve">    </w:t>
        <w:br/>
        <w:t xml:space="preserve">    @Schema(description = "ID único do proprietário cadastrado", example = "a1b2c3d4-e5f6-7a8b-9c0d-1e2f3a4b5c6d")</w:t>
        <w:br/>
        <w:t xml:space="preserve">    @NotBlank(message = "O vínculo com o tutor é obrigatório")</w:t>
        <w:br/>
        <w:t xml:space="preserve">    String ownerId</w:t>
        <w:br/>
        <w:t>) {</w:t>
        <w:br/>
        <w:t xml:space="preserve">    // Compact Constructor para validação de integridade adicional antes da criação do Record</w:t>
        <w:br/>
        <w:t xml:space="preserve">    public PetRequestDTO {</w:t>
        <w:br/>
        <w:t xml:space="preserve">        if (name != null &amp;&amp; name.trim().equalsIgnoreCase("admin")) {</w:t>
        <w:br/>
        <w:t xml:space="preserve">            throw new IllegalArgumentException("Nome de animal inválido para o ecossistema veterinário");</w:t>
        <w:br/>
        <w:t xml:space="preserve">        }</w:t>
        <w:br/>
        <w:t xml:space="preserve">    }</w:t>
        <w:br/>
        <w:t>}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0E7490"/>
          <w:sz w:val="25"/>
        </w:rPr>
        <w:t>Passo 2: Configuração do Contrato do Repositório (DDD e DIP)</w:t>
      </w:r>
    </w:p>
    <w:p>
      <w:pPr>
        <w:spacing w:after="160" w:line="276" w:lineRule="auto"/>
      </w:pPr>
      <w:r>
        <w:rPr>
          <w:rFonts w:ascii="Arial" w:hAnsi="Arial"/>
        </w:rPr>
        <w:t>Crie a interface de persistência herdando de JpaRepository apenas para as raízes de agregado (Aggregate Roots). Se houver necessidade de consultas customizadas complexas em SQL puro, utilize Text Blocks para manter a legibilidade limpa do algoritmo relacional, respeitando o Princípio de Inversão de Dependência (DIP).</w:t>
      </w:r>
    </w:p>
    <w:p>
      <w:pPr>
        <w:spacing w:before="80" w:after="80" w:line="240" w:lineRule="auto"/>
        <w:ind w:left="360" w:right="360"/>
      </w:pPr>
      <w:r>
        <w:rPr>
          <w:rFonts w:ascii="Courier New" w:hAnsi="Courier New"/>
          <w:color w:val="0F172A"/>
          <w:sz w:val="18"/>
        </w:rPr>
        <w:t>package br.com.petlandapi.domain.repository;</w:t>
        <w:br/>
        <w:br/>
        <w:t>import br.com.petlandapi.domain.model.Pet;</w:t>
        <w:br/>
        <w:t>import org.springframework.data.jpa.repository.JpaRepository;</w:t>
        <w:br/>
        <w:t>import org.springframework.data.jpa.repository.Query;</w:t>
        <w:br/>
        <w:t>import org.springframework.data.repository.query.Param;</w:t>
        <w:br/>
        <w:t>import org.springframework.stereotype.Repository;</w:t>
        <w:br/>
        <w:br/>
        <w:t>import java.util.List;</w:t>
        <w:br/>
        <w:t>import java.util.UUID;</w:t>
        <w:br/>
        <w:br/>
        <w:t>@Repository</w:t>
        <w:br/>
        <w:t>public interface PetRepository extends JpaRepository&lt;Pet, UUID&gt; {</w:t>
        <w:br/>
        <w:br/>
        <w:t xml:space="preserve">    // Utilização de Text Blocks para isolamento de queries customizadas limpas</w:t>
        <w:br/>
        <w:t xml:space="preserve">    @Query("""</w:t>
        <w:br/>
        <w:t xml:space="preserve">        SELECT p FROM Pet p </w:t>
        <w:br/>
        <w:t xml:space="preserve">        WHERE p.species = :species </w:t>
        <w:br/>
        <w:t xml:space="preserve">        ORDER BY p.name ASC</w:t>
        <w:br/>
        <w:t xml:space="preserve">    """)</w:t>
        <w:br/>
        <w:t xml:space="preserve">    List&lt;Pet&gt; findBySpeciesActive(@Param("species") String species);</w:t>
        <w:br/>
        <w:t>}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0E7490"/>
          <w:sz w:val="25"/>
        </w:rPr>
        <w:t>Passo 3: Construção da Configuração Global do Swagger</w:t>
      </w:r>
    </w:p>
    <w:p>
      <w:pPr>
        <w:spacing w:after="160" w:line="276" w:lineRule="auto"/>
      </w:pPr>
      <w:r>
        <w:rPr>
          <w:rFonts w:ascii="Arial" w:hAnsi="Arial"/>
        </w:rPr>
        <w:t>Crie a classe 'SwaggerConfig.java' sob o pacote de infraestrutura. Ela configura o motor do OpenAPI 3, injetando as propriedades de cabeçalho do contrato, informações de licenciamento, seus dados de contato e os servidores locais mapeados.</w:t>
      </w:r>
    </w:p>
    <w:p>
      <w:pPr>
        <w:spacing w:before="80" w:after="80" w:line="240" w:lineRule="auto"/>
        <w:ind w:left="360" w:right="360"/>
      </w:pPr>
      <w:r>
        <w:rPr>
          <w:rFonts w:ascii="Courier New" w:hAnsi="Courier New"/>
          <w:color w:val="0F172A"/>
          <w:sz w:val="18"/>
        </w:rPr>
        <w:t>package br.com.petlandapi.infra.config;</w:t>
        <w:br/>
        <w:br/>
        <w:t>import io.swagger.v3.oas.models.OpenAPI;</w:t>
        <w:br/>
        <w:t>import io.swagger.v3.oas.models.info.Contact;</w:t>
        <w:br/>
        <w:t>import io.swagger.v3.oas.models.info.Info;</w:t>
        <w:br/>
        <w:t>import io.swagger.v3.oas.models.info.License;</w:t>
        <w:br/>
        <w:t>import io.swagger.v3.oas.models.servers.Server;</w:t>
        <w:br/>
        <w:t>import org.springframework.context.annotation.Bean;</w:t>
        <w:br/>
        <w:t>import org.springframework.context.annotation.Configuration;</w:t>
        <w:br/>
        <w:br/>
        <w:t>import java.util.List;</w:t>
        <w:br/>
        <w:br/>
        <w:t>@Configuration</w:t>
        <w:br/>
        <w:t>public class SwaggerConfig {</w:t>
        <w:br/>
        <w:br/>
        <w:t xml:space="preserve">    @Bean</w:t>
        <w:br/>
        <w:t xml:space="preserve">    public OpenAPI petlandOpenAPI() {</w:t>
        <w:br/>
        <w:t xml:space="preserve">        return new OpenAPI()</w:t>
        <w:br/>
        <w:t xml:space="preserve">                .info(new Info()</w:t>
        <w:br/>
        <w:t xml:space="preserve">                        .title("Petland API Ecosystem")</w:t>
        <w:br/>
        <w:t xml:space="preserve">                        .version("1.0.0-MVP")</w:t>
        <w:br/>
        <w:t xml:space="preserve">                        .description("Documentação unificada dos endpoints transacionais da Petland API para a Semana 1 do Bootcamp.")</w:t>
        <w:br/>
        <w:t xml:space="preserve">                        .contact(new Contact()</w:t>
        <w:br/>
        <w:t xml:space="preserve">                                .name("Gabriel Falcão da Cruz")</w:t>
        <w:br/>
        <w:t xml:space="preserve">                                .url("https://gabrielfalcaodacruz.tech")</w:t>
        <w:br/>
        <w:t xml:space="preserve">                                .email("gabriel@example.com"))</w:t>
        <w:br/>
        <w:t xml:space="preserve">                        .license(new License()</w:t>
        <w:br/>
        <w:t xml:space="preserve">                                .name("Apache 2.0")</w:t>
        <w:br/>
        <w:t xml:space="preserve">                                .url("https://apache.org/licenses/LICENSE-2.0")))</w:t>
        <w:br/>
        <w:t xml:space="preserve">                .servers(List.of(</w:t>
        <w:br/>
        <w:t xml:space="preserve">                        new Server().url("http://localhost:8080").description("Ambiente Local de Desenvolvimento")</w:t>
        <w:br/>
        <w:t xml:space="preserve">                ));</w:t>
        <w:br/>
        <w:t xml:space="preserve">    }</w:t>
        <w:br/>
        <w:t>}</w:t>
      </w:r>
    </w:p>
    <w:p>
      <w:pPr>
        <w:pStyle w:val="Heading2"/>
        <w:keepNext/>
        <w:spacing w:before="280" w:after="120"/>
      </w:pPr>
      <w:r>
        <w:rPr>
          <w:rFonts w:ascii="Arial" w:hAnsi="Arial"/>
          <w:b/>
          <w:color w:val="0E7490"/>
          <w:sz w:val="25"/>
        </w:rPr>
        <w:t>Passo 4: Implementando o REST Controller com Swagger e Validações Perimetrais</w:t>
      </w:r>
    </w:p>
    <w:p>
      <w:pPr>
        <w:spacing w:after="160" w:line="276" w:lineRule="auto"/>
      </w:pPr>
      <w:r>
        <w:rPr>
          <w:rFonts w:ascii="Arial" w:hAnsi="Arial"/>
        </w:rPr>
        <w:t>Escreva o 'PetController.java' injetando o ApplicationService estritamente por construtor (atendendo ao SOLID e eliminando o uso nocivo da anotação @Autowired). Decore a classe e os métodos com operações e respostas explícitas do Swagger, criando os contratos que serão renderizados graficamente na interface web:</w:t>
      </w:r>
    </w:p>
    <w:p>
      <w:pPr>
        <w:spacing w:before="80" w:after="80" w:line="240" w:lineRule="auto"/>
        <w:ind w:left="360" w:right="360"/>
      </w:pPr>
      <w:r>
        <w:rPr>
          <w:rFonts w:ascii="Courier New" w:hAnsi="Courier New"/>
          <w:color w:val="0F172A"/>
          <w:sz w:val="18"/>
        </w:rPr>
        <w:t>package br.com.petlandapi.api.controller;</w:t>
        <w:br/>
        <w:br/>
        <w:t>import br.com.petlandapi.domain.dto.PetRequestDTO;</w:t>
        <w:br/>
        <w:t>import br.com.petlandapi.domain.service.PetApplicationService;</w:t>
        <w:br/>
        <w:t>import io.swagger.v3.oas.annotations.Operation;</w:t>
        <w:br/>
        <w:t>import io.swagger.v3.oas.annotations.responses.ApiResponse;</w:t>
        <w:br/>
        <w:t>import io.swagger.v3.oas.annotations.responses.ApiResponses;</w:t>
        <w:br/>
        <w:t>import io.swagger.v3.oas.annotations.tags.Tag;</w:t>
        <w:br/>
        <w:t>import jakarta.validation.Valid;</w:t>
        <w:br/>
        <w:t>import org.springframework.http.HttpStatus;</w:t>
        <w:br/>
        <w:t>import org.springframework.http.ResponseEntity;</w:t>
        <w:br/>
        <w:t>import org.springframework.web.bind.annotation.*;</w:t>
        <w:br/>
        <w:br/>
        <w:t>@RestController</w:t>
        <w:br/>
        <w:t>@RequestMapping("/api/pets")</w:t>
        <w:br/>
        <w:t>@Tag(name = "Pets", description = "Eclusa perimetral para gerenciar o ciclo de vida dos animais de estimação")</w:t>
        <w:br/>
        <w:t>public class PetController {</w:t>
        <w:br/>
        <w:br/>
        <w:t xml:space="preserve">    private final PetApplicationService petApplicationService;</w:t>
        <w:br/>
        <w:br/>
        <w:t xml:space="preserve">    // Injeção por construtor rígida - Atende ao Princípio de Inversão de Dependência (DIP)</w:t>
        <w:br/>
        <w:t xml:space="preserve">    public PetController(PetApplicationService petApplicationService) {</w:t>
        <w:br/>
        <w:t xml:space="preserve">        this.petApplicationService = petApplicationService;</w:t>
        <w:br/>
        <w:t xml:space="preserve">    }</w:t>
        <w:br/>
        <w:br/>
        <w:t xml:space="preserve">    @PostMapping</w:t>
        <w:br/>
        <w:t xml:space="preserve">    @Operation(summary = "Cadastrar Novo Pet no PostgreSQL", description = "Recebe o JSON de entrada, aciona a eclusa @Valid e despacha os dados imutáveis para o serviço de aplicação.")</w:t>
        <w:br/>
        <w:t xml:space="preserve">    @ApiResponses(value = {</w:t>
        <w:br/>
        <w:t xml:space="preserve">            @ApiResponse(responseCode = "201", description = "Animal persistido com sucesso e chave primária gerada"),</w:t>
        <w:br/>
        <w:t xml:space="preserve">            @ApiResponse(responseCode = "400", description = "Payload inválido corrompido na validação de borda"),</w:t>
        <w:br/>
        <w:t xml:space="preserve">            @ApiResponse(responseCode = "404", description = "Tutor informado via ownerId não foi localizado no sistema"),</w:t>
        <w:br/>
        <w:t xml:space="preserve">            @ApiResponse(responseCode = "500", description = "Falha inesperada no processamento capturada pelo RestControllerAdvice")</w:t>
        <w:br/>
        <w:t xml:space="preserve">    })</w:t>
        <w:br/>
        <w:t xml:space="preserve">    public ResponseEntity&lt;String&gt; create(@Valid @RequestBody PetRequestDTO request) {</w:t>
        <w:br/>
        <w:t xml:space="preserve">        petApplicationService.processCreate(request);</w:t>
        <w:br/>
        <w:t xml:space="preserve">        return ResponseEntity.status(HttpStatus.CREATED).body("{\"status\": \"SUCCESS\", \"message\": \"Animal persistido de forma limpa!\"}");</w:t>
        <w:br/>
        <w:t xml:space="preserve">    }</w:t>
        <w:br/>
        <w:t>}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E293B"/>
          <w:sz w:val="30"/>
        </w:rPr>
        <w:t>6. Pirâmide de Testes e Controle de Cobertura (JaCoCo)</w:t>
      </w:r>
    </w:p>
    <w:p>
      <w:pPr>
        <w:spacing w:after="160" w:line="276" w:lineRule="auto"/>
      </w:pPr>
      <w:r>
        <w:rPr>
          <w:rFonts w:ascii="Arial" w:hAnsi="Arial"/>
        </w:rPr>
        <w:t>O fechamento do MVP exige a validação da pirâmide de testes automáticos. O plugin JaCoCo estabelece uma eclusa técnica impeditiva (Quality Gate Overall), bloqueando o build caso o percentual de linhas de código cobertas por asserções seja inferior a 80%. Para atingir essa barreira sem gerar testes falsos, estruture a cobertura em dois níveis claros: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Testes Unitários de Caso de Uso: Utilizam JUnit 5 e Mockito para isolar a camada de DomainServices. Mocam o comportamento das interfaces de Repository utilizando 'Mockito.when()' e validam cenários de sucesso e caminhos alternativos de exceção através de 'assertThrows()'.</w:t>
      </w:r>
    </w:p>
    <w:p>
      <w:pPr>
        <w:pStyle w:val="ListBullet"/>
        <w:spacing w:after="160" w:line="276" w:lineRule="auto"/>
      </w:pPr>
      <w:r>
        <w:rPr>
          <w:rFonts w:ascii="Arial" w:hAnsi="Arial"/>
        </w:rPr>
        <w:t>Testes de Integração de Rota Web: Utilizam a ferramenta MockMvc do Spring Test. Simulam requisições HTTP completas disparando contra os endpoints do 'PetController', passando payloads válidos e inválidos para garantir que o interceptor global capture os erros e responda com o JSON e o HTTP status code adequados.</w:t>
      </w:r>
    </w:p>
    <w:p>
      <w:pPr>
        <w:spacing w:after="240" w:line="276" w:lineRule="auto"/>
      </w:pPr>
      <w:r>
        <w:rPr>
          <w:rFonts w:ascii="Arial" w:hAnsi="Arial"/>
        </w:rPr>
        <w:t>Com todo o ecossistema escrito passo a passo no seu ritmo confortável, execute o comando './mvnw clean verify' no seu terminal do Antigravity. O Maven rodará a esteira completa, gerando o relatório do JaCoCo sob a pasta 'target/site/jacoco/index.html' e escaneando o código através do SonarQube local. Se o placar geral estiver acima de 80% e sem issues críticos, o seu MVP está oficialmente pronto para receber a tag semântica 'v1.0.0' e ser enviado para o GitHub por meio das diretrizes avançadas de Git 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