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B04" w:rsidRDefault="005A68F0">
      <w:pPr>
        <w:spacing w:before="480" w:after="80"/>
        <w:jc w:val="center"/>
      </w:pPr>
      <w:r>
        <w:rPr>
          <w:b/>
          <w:color w:val="1F3A56"/>
          <w:sz w:val="40"/>
        </w:rPr>
        <w:t>DOCUMENTO DE ESPECIFICAÇÃO DE REQUISITOS TÉCNICOS</w:t>
      </w:r>
    </w:p>
    <w:p w:rsidR="00E86B04" w:rsidRDefault="005A68F0">
      <w:pPr>
        <w:spacing w:after="480"/>
        <w:jc w:val="center"/>
      </w:pPr>
      <w:r>
        <w:rPr>
          <w:i/>
          <w:color w:val="4A5568"/>
          <w:sz w:val="26"/>
        </w:rPr>
        <w:t>Projeto: SafeWallet Core — Microsserviço de Carteira Digital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E86B04">
        <w:trPr>
          <w:jc w:val="center"/>
        </w:trPr>
        <w:tc>
          <w:tcPr>
            <w:tcW w:w="451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6B04" w:rsidRDefault="005A68F0">
            <w:pPr>
              <w:spacing w:after="40"/>
            </w:pPr>
            <w:r>
              <w:rPr>
                <w:b/>
                <w:sz w:val="19"/>
              </w:rPr>
              <w:t>Autor:</w:t>
            </w:r>
            <w:r>
              <w:rPr>
                <w:sz w:val="19"/>
              </w:rPr>
              <w:t xml:space="preserve"> Gabriel Falcão da Cruz (Lead Developer)</w:t>
            </w:r>
          </w:p>
        </w:tc>
        <w:tc>
          <w:tcPr>
            <w:tcW w:w="451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6B04" w:rsidRDefault="005A68F0">
            <w:pPr>
              <w:spacing w:after="40"/>
            </w:pPr>
            <w:r>
              <w:rPr>
                <w:b/>
                <w:sz w:val="19"/>
              </w:rPr>
              <w:t>Organização:</w:t>
            </w:r>
            <w:r>
              <w:rPr>
                <w:sz w:val="19"/>
              </w:rPr>
              <w:t xml:space="preserve"> Neukox / Repositório Master</w:t>
            </w:r>
          </w:p>
        </w:tc>
      </w:tr>
      <w:tr w:rsidR="00E86B04">
        <w:trPr>
          <w:jc w:val="center"/>
        </w:trPr>
        <w:tc>
          <w:tcPr>
            <w:tcW w:w="451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6B04" w:rsidRDefault="005A68F0">
            <w:pPr>
              <w:spacing w:after="40"/>
            </w:pPr>
            <w:r>
              <w:rPr>
                <w:b/>
                <w:sz w:val="19"/>
              </w:rPr>
              <w:t>Mentor:</w:t>
            </w:r>
            <w:r>
              <w:rPr>
                <w:sz w:val="19"/>
              </w:rPr>
              <w:t xml:space="preserve"> Senior Tech Mentor (20+ Anos Exp)</w:t>
            </w:r>
          </w:p>
        </w:tc>
        <w:tc>
          <w:tcPr>
            <w:tcW w:w="451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6B04" w:rsidRDefault="005A68F0">
            <w:pPr>
              <w:spacing w:after="40"/>
            </w:pPr>
            <w:r>
              <w:rPr>
                <w:b/>
                <w:sz w:val="19"/>
              </w:rPr>
              <w:t>Data de Criação:</w:t>
            </w:r>
            <w:r>
              <w:rPr>
                <w:sz w:val="19"/>
              </w:rPr>
              <w:t xml:space="preserve"> 27 de Maio de 2026</w:t>
            </w:r>
          </w:p>
        </w:tc>
      </w:tr>
    </w:tbl>
    <w:p w:rsidR="00E86B04" w:rsidRDefault="00E86B04">
      <w:pPr>
        <w:spacing w:after="240"/>
      </w:pPr>
    </w:p>
    <w:p w:rsidR="00E86B04" w:rsidRDefault="005A68F0">
      <w:pPr>
        <w:keepNext/>
        <w:pBdr>
          <w:bottom w:val="single" w:sz="12" w:space="4" w:color="1F3A56"/>
        </w:pBdr>
        <w:spacing w:before="360" w:after="120"/>
      </w:pPr>
      <w:r>
        <w:rPr>
          <w:b/>
          <w:color w:val="1F3A56"/>
          <w:sz w:val="36"/>
        </w:rPr>
        <w:t>1. Introdução e Escopo de Negócio</w:t>
      </w:r>
    </w:p>
    <w:p w:rsidR="00E86B04" w:rsidRDefault="005A68F0">
      <w:r>
        <w:t>O SafeWallet Core é um microsserviço de carteira digital desenvolvido de forma paralela aos estudos teóricos da plataforma Java e Spring Boot. O objetivo principal deste projeto é atuar como um ambiente prático e controlado para aplicação imediata de conceitos de arquitetura de software limpa, design orientado a objetos e resiliência infraestrutural Cloud-Native. O escopo concentra-se no ciclo completo de gerenciamento e conservação de usuários e cartões de crédito corporativos, garantindo a validação rígid</w:t>
      </w:r>
      <w:r>
        <w:t>a de dados na borda da aplicação antes de qualquer persistência física.</w:t>
      </w:r>
    </w:p>
    <w:p w:rsidR="00E86B04" w:rsidRDefault="005A68F0">
      <w:pPr>
        <w:keepNext/>
        <w:pBdr>
          <w:bottom w:val="single" w:sz="12" w:space="4" w:color="1F3A56"/>
        </w:pBdr>
        <w:spacing w:before="240" w:after="120"/>
      </w:pPr>
      <w:r>
        <w:rPr>
          <w:b/>
          <w:color w:val="1F3A56"/>
          <w:sz w:val="36"/>
        </w:rPr>
        <w:t>2. Arquitetura e Stack Tecnológica</w:t>
      </w:r>
    </w:p>
    <w:p w:rsidR="00E86B04" w:rsidRDefault="005A68F0">
      <w:pPr>
        <w:spacing w:after="160"/>
      </w:pPr>
      <w:r>
        <w:t>O projeto adota uma arquitetura desacoplada e 'stateless' (sem estado), dividida de forma estrita em camadas de responsabilidade isolas. A infraestrutura local é totalmente orquestrada através de contêineres para mitigar conflitos de portas de rede com outros projetos locais (como o ecossistema de estudos da Rocketseat).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86B04">
        <w:trPr>
          <w:jc w:val="center"/>
        </w:trPr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Tecnologia / Componente</w:t>
            </w:r>
          </w:p>
        </w:tc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Versão Alvo</w:t>
            </w:r>
          </w:p>
        </w:tc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Papel na Arquitetura / Justificativa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Java SE (JDK)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17+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Linguagem nativa. Uso de records para imutabilidade e novas APIs estruturais.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Spring Boot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3.x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Framework core. Componentes: Starter Web, Data JPA, e Starter Validation.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PostgreSQL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15+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Banco de dados relacional oficial. Isolado na porta física externa 5433.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Docker / Compose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3.8+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Isolamento da infraestrutura do banco de dados relacional via contêiner imutável.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React + Vite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Moderno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Frontend SPA opcional para consumo dos contratos JSON expostos pela API.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Tailwind CSS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3.x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Framework utilitário de estilização do frontend com foco em design minimalista escuro.</w:t>
            </w:r>
          </w:p>
        </w:tc>
      </w:tr>
    </w:tbl>
    <w:p w:rsidR="00E86B04" w:rsidRDefault="00E86B04">
      <w:pPr>
        <w:spacing w:after="240"/>
      </w:pPr>
    </w:p>
    <w:p w:rsidR="00E86B04" w:rsidRDefault="005A68F0">
      <w:pPr>
        <w:keepNext/>
        <w:pBdr>
          <w:bottom w:val="single" w:sz="12" w:space="4" w:color="1F3A56"/>
        </w:pBdr>
        <w:spacing w:before="240" w:after="120"/>
      </w:pPr>
      <w:r>
        <w:rPr>
          <w:b/>
          <w:color w:val="1F3A56"/>
          <w:sz w:val="36"/>
        </w:rPr>
        <w:t>3. Requisitos Funcionais (RF)</w:t>
      </w:r>
    </w:p>
    <w:p w:rsidR="00E86B04" w:rsidRDefault="005A68F0">
      <w:pPr>
        <w:keepNext/>
        <w:spacing w:before="200" w:after="80"/>
      </w:pPr>
      <w:r>
        <w:rPr>
          <w:b/>
          <w:color w:val="1F3A56"/>
          <w:sz w:val="28"/>
        </w:rPr>
        <w:t>RF-001 — Cadastro de Usuário (Wallet Owner)</w:t>
      </w:r>
    </w:p>
    <w:p w:rsidR="00E86B04" w:rsidRDefault="005A68F0">
      <w:pPr>
        <w:spacing w:after="40"/>
      </w:pPr>
      <w:r>
        <w:rPr>
          <w:b/>
        </w:rPr>
        <w:t xml:space="preserve">Descrição técnica: </w:t>
      </w:r>
      <w:r>
        <w:t>A API deve permitir o registro de novos usuários na plataforma coletando os campos obrigatórios: Nome Completo, E-mail e Senha.</w:t>
      </w:r>
    </w:p>
    <w:p w:rsidR="00E86B04" w:rsidRDefault="005A68F0">
      <w:pPr>
        <w:spacing w:after="160"/>
      </w:pPr>
      <w:r>
        <w:rPr>
          <w:b/>
        </w:rPr>
        <w:t>Critérios de Aceite e Regras de Negócio:</w:t>
      </w:r>
      <w:r>
        <w:rPr>
          <w:b/>
        </w:rPr>
        <w:br/>
      </w:r>
      <w:r>
        <w:t>1. O payload recebido deve ser mapeado por um Record DTO imutável.</w:t>
      </w:r>
      <w:r>
        <w:br/>
        <w:t>2. O e-mail deve passar por validação de formato estrutural RFC.</w:t>
      </w:r>
      <w:r>
        <w:br/>
        <w:t>3. A senha deve possuir no mínimo 6 caracteres.</w:t>
      </w:r>
      <w:r>
        <w:br/>
        <w:t>4. Retorno HTTP 21 Created em caso de sucesso.</w:t>
      </w:r>
    </w:p>
    <w:p w:rsidR="00E86B04" w:rsidRDefault="005A68F0">
      <w:pPr>
        <w:keepNext/>
        <w:spacing w:before="200" w:after="80"/>
      </w:pPr>
      <w:r>
        <w:rPr>
          <w:b/>
          <w:color w:val="1F3A56"/>
          <w:sz w:val="28"/>
        </w:rPr>
        <w:t>RF-002 — Cadastro de Cartão de Crédito Associado</w:t>
      </w:r>
    </w:p>
    <w:p w:rsidR="00E86B04" w:rsidRDefault="005A68F0">
      <w:pPr>
        <w:spacing w:after="40"/>
      </w:pPr>
      <w:r>
        <w:rPr>
          <w:b/>
        </w:rPr>
        <w:t xml:space="preserve">Descrição técnica: </w:t>
      </w:r>
      <w:r>
        <w:t>O sistema deve permitir que um usuário previamente cadastrado vincule cartões de crédito à sua carteira digital para futuras transações.</w:t>
      </w:r>
    </w:p>
    <w:p w:rsidR="00E86B04" w:rsidRDefault="005A68F0">
      <w:pPr>
        <w:spacing w:after="160"/>
      </w:pPr>
      <w:r>
        <w:rPr>
          <w:b/>
        </w:rPr>
        <w:t>Critérios de Aceite e Regras de Negócio:</w:t>
      </w:r>
      <w:r>
        <w:rPr>
          <w:b/>
        </w:rPr>
        <w:br/>
      </w:r>
      <w:r>
        <w:t>1. Campos exigidos: Número do Cartão, Nome do Titular, Data de Vencimento (MM/AA) e CVV.</w:t>
      </w:r>
      <w:r>
        <w:br/>
        <w:t>2. O cartão deve ser associado obrigatoriamente a um ID de usuário existente.</w:t>
      </w:r>
      <w:r>
        <w:br/>
        <w:t>3. O número do cartão deve conter entre 13 e 16 dígitos numéricos.</w:t>
      </w:r>
    </w:p>
    <w:p w:rsidR="00E86B04" w:rsidRDefault="005A68F0">
      <w:pPr>
        <w:keepNext/>
        <w:spacing w:before="200" w:after="80"/>
      </w:pPr>
      <w:r>
        <w:rPr>
          <w:b/>
          <w:color w:val="1F3A56"/>
          <w:sz w:val="28"/>
        </w:rPr>
        <w:t>RF-003 — Validação Automatizada de Dados de Entrada (Bean Validation)</w:t>
      </w:r>
    </w:p>
    <w:p w:rsidR="00E86B04" w:rsidRDefault="005A68F0">
      <w:pPr>
        <w:spacing w:after="40"/>
      </w:pPr>
      <w:r>
        <w:rPr>
          <w:b/>
        </w:rPr>
        <w:t xml:space="preserve">Descrição técnica: </w:t>
      </w:r>
      <w:r>
        <w:t>Toda requisição HTTP direcionada aos endpoints de criação deve passar por uma esteira de validação automática de constraints na borda da rede.</w:t>
      </w:r>
    </w:p>
    <w:p w:rsidR="00E86B04" w:rsidRDefault="005A68F0">
      <w:pPr>
        <w:spacing w:after="160"/>
      </w:pPr>
      <w:r>
        <w:rPr>
          <w:b/>
        </w:rPr>
        <w:t>Critérios de Aceite e Regras de Negócio:</w:t>
      </w:r>
      <w:r>
        <w:rPr>
          <w:b/>
        </w:rPr>
        <w:br/>
      </w:r>
      <w:r>
        <w:t>1. Uso das anotações @Valid, @NotNull, @Email, @Pattern e @Size nas DTOs.</w:t>
      </w:r>
      <w:r>
        <w:br/>
        <w:t>2. Caso alguma constraint falhe, a requisição deve ser abortada imediatamente no Controller, impedindo o tráfego na camada de Service.</w:t>
      </w:r>
    </w:p>
    <w:p w:rsidR="00E86B04" w:rsidRDefault="005A68F0">
      <w:pPr>
        <w:keepNext/>
        <w:spacing w:before="200" w:after="80"/>
      </w:pPr>
      <w:r>
        <w:rPr>
          <w:b/>
          <w:color w:val="1F3A56"/>
          <w:sz w:val="28"/>
        </w:rPr>
        <w:t>RF-004 — Validação Preventiva de Unicidade (E-mail e Cartão)</w:t>
      </w:r>
    </w:p>
    <w:p w:rsidR="00E86B04" w:rsidRDefault="005A68F0">
      <w:pPr>
        <w:spacing w:after="40"/>
      </w:pPr>
      <w:r>
        <w:rPr>
          <w:b/>
        </w:rPr>
        <w:t xml:space="preserve">Descrição técnica: </w:t>
      </w:r>
      <w:r>
        <w:t>O sistema deve barrar a criação de registros duplicados utilizando checagem em memória antes de invocar comandos físicos de persistência no banco.</w:t>
      </w:r>
    </w:p>
    <w:p w:rsidR="00E86B04" w:rsidRDefault="005A68F0">
      <w:pPr>
        <w:spacing w:after="160"/>
      </w:pPr>
      <w:r>
        <w:rPr>
          <w:b/>
        </w:rPr>
        <w:t>Critérios de Aceite e Regras de Negócio:</w:t>
      </w:r>
      <w:r>
        <w:rPr>
          <w:b/>
        </w:rPr>
        <w:br/>
      </w:r>
      <w:r>
        <w:t>1. A camada de Service deve usar Derived Queries (Ex: findByEmail) para verificar a existência do dado.</w:t>
      </w:r>
      <w:r>
        <w:br/>
        <w:t>2. Se o e-mail já existir, lança exceção de negócio específica.</w:t>
      </w:r>
      <w:r>
        <w:br/>
        <w:t>3. Se o número do cartão já existir para aquele usuário, lança exceção específica.</w:t>
      </w:r>
    </w:p>
    <w:p w:rsidR="00E86B04" w:rsidRDefault="005A68F0">
      <w:pPr>
        <w:keepNext/>
        <w:spacing w:before="200" w:after="80"/>
      </w:pPr>
      <w:r>
        <w:rPr>
          <w:b/>
          <w:color w:val="1F3A56"/>
          <w:sz w:val="28"/>
        </w:rPr>
        <w:t>RF-005 — Tratamento Global de Exceções e Padronização de Contratos</w:t>
      </w:r>
    </w:p>
    <w:p w:rsidR="00E86B04" w:rsidRDefault="005A68F0">
      <w:pPr>
        <w:spacing w:after="40"/>
      </w:pPr>
      <w:r>
        <w:rPr>
          <w:b/>
        </w:rPr>
        <w:t xml:space="preserve">Descrição técnica: </w:t>
      </w:r>
      <w:r>
        <w:t>A API deve interceptar de forma centralizada qualquer falha de validação ou de negócio, formatando a saída de erro de maneira previsível.</w:t>
      </w:r>
    </w:p>
    <w:p w:rsidR="00E86B04" w:rsidRDefault="005A68F0">
      <w:pPr>
        <w:spacing w:after="160"/>
      </w:pPr>
      <w:r>
        <w:rPr>
          <w:b/>
        </w:rPr>
        <w:t>Critérios de Aceite e Regras de Negócio:</w:t>
      </w:r>
      <w:r>
        <w:rPr>
          <w:b/>
        </w:rPr>
        <w:br/>
      </w:r>
      <w:r>
        <w:t>1. Implementação obrigatória através de uma classe marcada com @ControllerAdvice.</w:t>
      </w:r>
      <w:r>
        <w:br/>
        <w:t>2. Captura de MethodArgumentNotValidException traduzindo para JSON contendo o campo e a mensagem de erro amigável.</w:t>
      </w:r>
      <w:r>
        <w:br/>
        <w:t>3. Retorno HTTP 400 Bad Request para erros de entrada e HTTP 409 Conflict para dados duplicados.</w:t>
      </w:r>
    </w:p>
    <w:p w:rsidR="00E86B04" w:rsidRDefault="005A68F0">
      <w:pPr>
        <w:keepNext/>
        <w:pBdr>
          <w:bottom w:val="single" w:sz="12" w:space="4" w:color="1F3A56"/>
        </w:pBdr>
        <w:spacing w:before="280" w:after="120"/>
      </w:pPr>
      <w:r>
        <w:rPr>
          <w:b/>
          <w:color w:val="1F3A56"/>
          <w:sz w:val="36"/>
        </w:rPr>
        <w:t>4. Requisitos Não Funcionais (RNF)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86B04">
        <w:trPr>
          <w:jc w:val="center"/>
        </w:trPr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Categoria / Requisito</w:t>
            </w:r>
          </w:p>
        </w:tc>
        <w:tc>
          <w:tcPr>
            <w:tcW w:w="3010" w:type="dxa"/>
            <w:shd w:val="clear" w:color="auto" w:fill="1F3A5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6B04" w:rsidRDefault="005A68F0">
            <w:r>
              <w:rPr>
                <w:b/>
                <w:color w:val="FFFFFF"/>
                <w:sz w:val="20"/>
              </w:rPr>
              <w:t>Especificação Técnica e Justificativa Arquitetural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RNF-001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Imutabilidade de Contratos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Obrigatório o uso de Java Records para todos os objetos de transferência de dados (DTOs) que trafegam na rede, impedindo alterações colaterais de estado durante o ciclo de vida da requisição HTTP.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RNF-002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Acoplamento e Inversão de Controle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Proibido o uso da anotação @Autowired em atributos de classe (Field Injection). Toda injeção de dependência deve ser feita de forma explícita via construtor público, permitindo testes de unidade desacoplados.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RNF-003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Isolamento de Persistência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O banco de dados PostgreSQL deve rodar isolado em um container Docker, mapeando a porta física externa para 5433:5432 e declarando volumes de persistência locais para evitar perda de dados e colisões de rede.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RNF-004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Segurança de Origem (CORS)</w:t>
            </w:r>
          </w:p>
        </w:tc>
        <w:tc>
          <w:tcPr>
            <w:tcW w:w="301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A API Java deve possuir configuração explícita de Cross-Origin Resource Sharing (CORS) habilitada para o domínio local do frontend React (http://localhost:5173), prevenindo bloqueios de segurança nativos de navegadores.</w:t>
            </w:r>
          </w:p>
        </w:tc>
      </w:tr>
      <w:tr w:rsidR="00E86B04">
        <w:trPr>
          <w:jc w:val="center"/>
        </w:trPr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RNF-005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Padronização de Resposta e Transações</w:t>
            </w:r>
          </w:p>
        </w:tc>
        <w:tc>
          <w:tcPr>
            <w:tcW w:w="3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6B04" w:rsidRDefault="005A68F0">
            <w:pPr>
              <w:spacing w:after="40"/>
            </w:pPr>
            <w:r>
              <w:rPr>
                <w:sz w:val="19"/>
              </w:rPr>
              <w:t>Todas as ações de modificação de estado (Insert) devem operar sob escopos transacionais controlados pelo Spring Data JPA, utilizando o pool de alta performance HikariCP (limitado a um pool size inicial de 10 conexões).</w:t>
            </w:r>
          </w:p>
        </w:tc>
      </w:tr>
    </w:tbl>
    <w:p w:rsidR="00E86B04" w:rsidRDefault="00E86B04">
      <w:pPr>
        <w:spacing w:after="240"/>
      </w:pPr>
    </w:p>
    <w:p w:rsidR="00E86B04" w:rsidRDefault="005A68F0">
      <w:pPr>
        <w:keepNext/>
        <w:pBdr>
          <w:bottom w:val="single" w:sz="12" w:space="4" w:color="1F3A56"/>
        </w:pBdr>
        <w:spacing w:before="240" w:after="120"/>
      </w:pPr>
      <w:r>
        <w:rPr>
          <w:b/>
          <w:color w:val="1F3A56"/>
          <w:sz w:val="36"/>
        </w:rPr>
        <w:t>5. Estrutura Arquitetural de Pacotes Java</w:t>
      </w:r>
    </w:p>
    <w:p w:rsidR="00E86B04" w:rsidRDefault="005A68F0">
      <w:pPr>
        <w:spacing w:after="80"/>
      </w:pPr>
      <w:r>
        <w:t>Para manter a aderência estrita às regras do Separation of Concerns (SoC) descritas na Arquitetura Limpa, o projeto no VS Code seguirá rigorosamente a árvore de diretórios e pacotes abaixo, isolando o domínio de carteira digital:</w:t>
      </w:r>
    </w:p>
    <w:p w:rsidR="00E86B04" w:rsidRDefault="005A68F0">
      <w:pPr>
        <w:spacing w:after="240"/>
        <w:ind w:left="360"/>
      </w:pPr>
      <w:r>
        <w:rPr>
          <w:rFonts w:ascii="Courier New" w:hAnsi="Courier New"/>
          <w:color w:val="4A5568"/>
          <w:sz w:val="18"/>
        </w:rPr>
        <w:t>br.com.neukox.safewallet</w:t>
      </w:r>
      <w:r>
        <w:rPr>
          <w:rFonts w:ascii="Courier New" w:hAnsi="Courier New"/>
          <w:color w:val="4A5568"/>
          <w:sz w:val="18"/>
        </w:rPr>
        <w:br/>
        <w:t>│</w:t>
      </w:r>
      <w:r>
        <w:rPr>
          <w:rFonts w:ascii="Courier New" w:hAnsi="Courier New"/>
          <w:color w:val="4A5568"/>
          <w:sz w:val="18"/>
        </w:rPr>
        <w:br/>
        <w:t>├── users/</w:t>
      </w:r>
      <w:r>
        <w:rPr>
          <w:rFonts w:ascii="Courier New" w:hAnsi="Courier New"/>
          <w:color w:val="4A5568"/>
          <w:sz w:val="18"/>
        </w:rPr>
        <w:br/>
        <w:t>│   ├── controllers/      # Expõe endpoints HTTP (UserController.java)</w:t>
      </w:r>
      <w:r>
        <w:rPr>
          <w:rFonts w:ascii="Courier New" w:hAnsi="Courier New"/>
          <w:color w:val="4A5568"/>
          <w:sz w:val="18"/>
        </w:rPr>
        <w:br/>
        <w:t>│   ├── dto/              # Records imutáveis (UserRequestDTO.java, UserResponseDTO.java)</w:t>
      </w:r>
      <w:r>
        <w:rPr>
          <w:rFonts w:ascii="Courier New" w:hAnsi="Courier New"/>
          <w:color w:val="4A5568"/>
          <w:sz w:val="18"/>
        </w:rPr>
        <w:br/>
        <w:t>│   ├── entity/           # Classes JPA mapeadas para tabelas (UserEntity.java)</w:t>
      </w:r>
      <w:r>
        <w:rPr>
          <w:rFonts w:ascii="Courier New" w:hAnsi="Courier New"/>
          <w:color w:val="4A5568"/>
          <w:sz w:val="18"/>
        </w:rPr>
        <w:br/>
        <w:t>│   ├── repositories/     # Interfaces estendendo JpaRepository (UserRepository.java)</w:t>
      </w:r>
      <w:r>
        <w:rPr>
          <w:rFonts w:ascii="Courier New" w:hAnsi="Courier New"/>
          <w:color w:val="4A5568"/>
          <w:sz w:val="18"/>
        </w:rPr>
        <w:br/>
        <w:t>│   └── services/         # Casos de uso e validação de negócio (CreateUserService.java)</w:t>
      </w:r>
      <w:r>
        <w:rPr>
          <w:rFonts w:ascii="Courier New" w:hAnsi="Courier New"/>
          <w:color w:val="4A5568"/>
          <w:sz w:val="18"/>
        </w:rPr>
        <w:br/>
        <w:t>│</w:t>
      </w:r>
      <w:r>
        <w:rPr>
          <w:rFonts w:ascii="Courier New" w:hAnsi="Courier New"/>
          <w:color w:val="4A5568"/>
          <w:sz w:val="18"/>
        </w:rPr>
        <w:br/>
        <w:t>├── cards/</w:t>
      </w:r>
      <w:r>
        <w:rPr>
          <w:rFonts w:ascii="Courier New" w:hAnsi="Courier New"/>
          <w:color w:val="4A5568"/>
          <w:sz w:val="18"/>
        </w:rPr>
        <w:br/>
        <w:t>│   ├── controllers/      # Endpoints de cartões (CardController.java</w:t>
      </w:r>
      <w:r>
        <w:rPr>
          <w:rFonts w:ascii="Courier New" w:hAnsi="Courier New"/>
          <w:color w:val="4A5568"/>
          <w:sz w:val="18"/>
        </w:rPr>
        <w:t>)</w:t>
      </w:r>
      <w:r>
        <w:rPr>
          <w:rFonts w:ascii="Courier New" w:hAnsi="Courier New"/>
          <w:color w:val="4A5568"/>
          <w:sz w:val="18"/>
        </w:rPr>
        <w:br/>
        <w:t>│   ├── dto/              # Mapeamento de entrada de cartões (CardRequestDTO.java)</w:t>
      </w:r>
      <w:r>
        <w:rPr>
          <w:rFonts w:ascii="Courier New" w:hAnsi="Courier New"/>
          <w:color w:val="4A5568"/>
          <w:sz w:val="18"/>
        </w:rPr>
        <w:br/>
        <w:t>│   ├── entity/           # Tabela de cartões vinculada ao usuário (CardEntity.java)</w:t>
      </w:r>
      <w:r>
        <w:rPr>
          <w:rFonts w:ascii="Courier New" w:hAnsi="Courier New"/>
          <w:color w:val="4A5568"/>
          <w:sz w:val="18"/>
        </w:rPr>
        <w:br/>
        <w:t>│   ├── repositories/     # Consultas derivadas de cartões (CardRepository.java)</w:t>
      </w:r>
      <w:r>
        <w:rPr>
          <w:rFonts w:ascii="Courier New" w:hAnsi="Courier New"/>
          <w:color w:val="4A5568"/>
          <w:sz w:val="18"/>
        </w:rPr>
        <w:br/>
        <w:t>│   └── services/         # Regras de limite e cadastro de cartões (CreateCardService.java)</w:t>
      </w:r>
      <w:r>
        <w:rPr>
          <w:rFonts w:ascii="Courier New" w:hAnsi="Courier New"/>
          <w:color w:val="4A5568"/>
          <w:sz w:val="18"/>
        </w:rPr>
        <w:br/>
        <w:t>│</w:t>
      </w:r>
      <w:r>
        <w:rPr>
          <w:rFonts w:ascii="Courier New" w:hAnsi="Courier New"/>
          <w:color w:val="4A5568"/>
          <w:sz w:val="18"/>
        </w:rPr>
        <w:br/>
        <w:t>└── exceptions/</w:t>
      </w:r>
      <w:r>
        <w:rPr>
          <w:rFonts w:ascii="Courier New" w:hAnsi="Courier New"/>
          <w:color w:val="4A5568"/>
          <w:sz w:val="18"/>
        </w:rPr>
        <w:br/>
        <w:t xml:space="preserve">    └── controllers/      # Centralizador Global de Erros (@ControllerAdvice)</w:t>
      </w:r>
    </w:p>
    <w:sectPr w:rsidR="00E86B0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640865">
    <w:abstractNumId w:val="8"/>
  </w:num>
  <w:num w:numId="2" w16cid:durableId="176386889">
    <w:abstractNumId w:val="6"/>
  </w:num>
  <w:num w:numId="3" w16cid:durableId="245963588">
    <w:abstractNumId w:val="5"/>
  </w:num>
  <w:num w:numId="4" w16cid:durableId="861743073">
    <w:abstractNumId w:val="4"/>
  </w:num>
  <w:num w:numId="5" w16cid:durableId="800609132">
    <w:abstractNumId w:val="7"/>
  </w:num>
  <w:num w:numId="6" w16cid:durableId="1052970370">
    <w:abstractNumId w:val="3"/>
  </w:num>
  <w:num w:numId="7" w16cid:durableId="1737778302">
    <w:abstractNumId w:val="2"/>
  </w:num>
  <w:num w:numId="8" w16cid:durableId="1046880336">
    <w:abstractNumId w:val="1"/>
  </w:num>
  <w:num w:numId="9" w16cid:durableId="69114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AE1"/>
    <w:rsid w:val="005A68F0"/>
    <w:rsid w:val="00AA1D8D"/>
    <w:rsid w:val="00B47730"/>
    <w:rsid w:val="00CB0664"/>
    <w:rsid w:val="00E86B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3C2A476-FBCB-4E4B-8001-3AD94AAA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1102</Words>
  <Characters>5953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Falcao</cp:lastModifiedBy>
  <cp:revision>2</cp:revision>
  <dcterms:created xsi:type="dcterms:W3CDTF">2026-05-27T21:22:00Z</dcterms:created>
  <dcterms:modified xsi:type="dcterms:W3CDTF">2026-05-27T21:22:00Z</dcterms:modified>
  <cp:category/>
</cp:coreProperties>
</file>