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7641EC" wp14:paraId="3B7F2E2B" wp14:textId="203F3F34">
      <w:pPr>
        <w:pStyle w:val="Heading1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48"/>
          <w:szCs w:val="48"/>
          <w:lang w:val="pt-BR"/>
        </w:rPr>
        <w:t>Safewallet Core – Documento de Arquitetura de Software</w:t>
      </w:r>
    </w:p>
    <w:p xmlns:wp14="http://schemas.microsoft.com/office/word/2010/wordml" w:rsidP="117641EC" wp14:paraId="4D2C2D82" wp14:textId="2C123268">
      <w:pPr>
        <w:pStyle w:val="Heading2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36"/>
          <w:szCs w:val="36"/>
          <w:lang w:val="pt-BR"/>
        </w:rPr>
        <w:t>1. Visão Geral da Arquitetura</w:t>
      </w:r>
    </w:p>
    <w:p xmlns:wp14="http://schemas.microsoft.com/office/word/2010/wordml" w:rsidP="117641EC" wp14:paraId="1E60011E" wp14:textId="3D7AC141">
      <w:pPr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O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Safewallet Core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é um sistema crítico de carteira digital projetado sob os pilares de segurança, consistência transacional (ACID) e alta disponibilidade. A infraestrutura na AWS adota uma abordagem </w:t>
      </w:r>
      <w:r w:rsidRPr="117641EC" w:rsidR="06BAFA40">
        <w:rPr>
          <w:rFonts w:ascii="Aptos Narrow" w:hAnsi="Aptos Narrow" w:eastAsia="Aptos Narrow" w:cs="Aptos Narrow"/>
          <w:i w:val="1"/>
          <w:iCs w:val="1"/>
          <w:noProof w:val="0"/>
          <w:color w:val="1F1F1F"/>
          <w:sz w:val="24"/>
          <w:szCs w:val="24"/>
          <w:lang w:val="pt-BR"/>
        </w:rPr>
        <w:t>Cloud-Native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e </w:t>
      </w:r>
      <w:r w:rsidRPr="117641EC" w:rsidR="06BAFA40">
        <w:rPr>
          <w:rFonts w:ascii="Aptos Narrow" w:hAnsi="Aptos Narrow" w:eastAsia="Aptos Narrow" w:cs="Aptos Narrow"/>
          <w:i w:val="1"/>
          <w:iCs w:val="1"/>
          <w:noProof w:val="0"/>
          <w:color w:val="1F1F1F"/>
          <w:sz w:val="24"/>
          <w:szCs w:val="24"/>
          <w:lang w:val="pt-BR"/>
        </w:rPr>
        <w:t>Serverless-First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, isolando componentes de lógica de negócio e persistência de dados em redes privadas, enquanto distribui o conteúdo estático globalmente através de redes de borda.</w:t>
      </w:r>
    </w:p>
    <w:p xmlns:wp14="http://schemas.microsoft.com/office/word/2010/wordml" w:rsidP="117641EC" wp14:paraId="074889DD" wp14:textId="1F11AAA5">
      <w:pPr>
        <w:pStyle w:val="Heading2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36"/>
          <w:szCs w:val="36"/>
          <w:lang w:val="pt-BR"/>
        </w:rPr>
        <w:t>2. Blueprint Estrutural da Infraestrutura (VPC e Componentes)</w:t>
      </w:r>
    </w:p>
    <w:p xmlns:wp14="http://schemas.microsoft.com/office/word/2010/wordml" w:rsidP="117641EC" wp14:paraId="7107F9AC" wp14:textId="40F67015">
      <w:pPr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Abaixo está a representação textual do mapeamento físico da infraestrutura dentro da conta AWS.</w:t>
      </w:r>
    </w:p>
    <w:p xmlns:wp14="http://schemas.microsoft.com/office/word/2010/wordml" w:rsidP="117641EC" wp14:paraId="653A30BC" wp14:textId="6354559F">
      <w:pPr>
        <w:pStyle w:val="Normal"/>
        <w:spacing w:before="0" w:beforeAutospacing="off" w:after="0" w:afterAutospacing="off"/>
      </w:pPr>
      <w:r w:rsidR="4CDA440A">
        <w:drawing>
          <wp:inline xmlns:wp14="http://schemas.microsoft.com/office/word/2010/wordprocessingDrawing" wp14:editId="4412F720" wp14:anchorId="2C358B16">
            <wp:extent cx="5724525" cy="3124200"/>
            <wp:effectExtent l="0" t="0" r="0" b="0"/>
            <wp:docPr id="2094329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329026" name="Picture 2094329026"/>
                    <pic:cNvPicPr/>
                  </pic:nvPicPr>
                  <pic:blipFill>
                    <a:blip xmlns:r="http://schemas.openxmlformats.org/officeDocument/2006/relationships" r:embed="rId832401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7641EC" wp14:paraId="735162C9" wp14:textId="0CC1CA36">
      <w:pPr>
        <w:pStyle w:val="Heading2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36"/>
          <w:szCs w:val="36"/>
          <w:lang w:val="pt-BR"/>
        </w:rPr>
        <w:t>3. Fluxo de Dados Ponta a Ponta</w:t>
      </w:r>
    </w:p>
    <w:p xmlns:wp14="http://schemas.microsoft.com/office/word/2010/wordml" w:rsidP="117641EC" wp14:paraId="76346854" wp14:textId="05526676">
      <w:pPr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O ciclo de vida de uma requisição transacional (ex: uma transferência de saldo) segue o fluxo ordenado abaixo:</w:t>
      </w:r>
    </w:p>
    <w:p xmlns:wp14="http://schemas.microsoft.com/office/word/2010/wordml" w:rsidP="117641EC" wp14:paraId="4FFB6D0D" wp14:textId="498E28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Acesso do Usuário: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O cliente acessa o domínio do Safewallet. O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Amazon Route 53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resolve o DNS e aponta para a distribuição do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Amazon CloudFront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17641EC" wp14:paraId="1D94B514" wp14:textId="341A0C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Renderização do Frontend: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O CloudFront entrega os arquivos estáticos (HTML, CSS, JS) armazenados de forma segura e privada no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Amazon S3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. O app roda no navegador do cliente.</w:t>
      </w:r>
    </w:p>
    <w:p xmlns:wp14="http://schemas.microsoft.com/office/word/2010/wordml" w:rsidP="117641EC" wp14:paraId="76FFB23E" wp14:textId="155BBD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Chamada de API: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O frontend realiza uma requisição HTTP (com o </w:t>
      </w:r>
      <w:r w:rsidRPr="117641EC" w:rsidR="06BAFA40">
        <w:rPr>
          <w:rFonts w:ascii="Aptos Narrow" w:hAnsi="Aptos Narrow" w:eastAsia="Aptos Narrow" w:cs="Aptos Narrow"/>
          <w:i w:val="1"/>
          <w:iCs w:val="1"/>
          <w:noProof w:val="0"/>
          <w:color w:val="1F1F1F"/>
          <w:sz w:val="24"/>
          <w:szCs w:val="24"/>
          <w:lang w:val="pt-BR"/>
        </w:rPr>
        <w:t>Bearer Token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no cabeçalho </w:t>
      </w:r>
      <w:r w:rsidRPr="117641EC" w:rsidR="06BAFA4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Authorization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) destinada ao endpoint da API.</w:t>
      </w:r>
    </w:p>
    <w:p xmlns:wp14="http://schemas.microsoft.com/office/word/2010/wordml" w:rsidP="117641EC" wp14:paraId="3C728AE4" wp14:textId="1D92F2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Roteamento de Borda: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A requisição atinge o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Application Load Balancer (ALB)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posicionado nas subnets públicas. O ALB descriptografa o SSL/TLS e encaminha o tráfego para a rede interna.</w:t>
      </w:r>
    </w:p>
    <w:p xmlns:wp14="http://schemas.microsoft.com/office/word/2010/wordml" w:rsidP="117641EC" wp14:paraId="33C865E2" wp14:textId="0D4071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Processamento da Lógica: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O ALB distribui a requisição para uma das tasks ativas do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AWS ECS Fargate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nas subnets privadas. O Spring Boot valida o token através do </w:t>
      </w:r>
      <w:r w:rsidRPr="117641EC" w:rsidR="06BAFA40">
        <w:rPr>
          <w:rFonts w:ascii="Aptos Narrow" w:hAnsi="Aptos Narrow" w:eastAsia="Aptos Narrow" w:cs="Aptos Narrow"/>
          <w:i w:val="1"/>
          <w:iCs w:val="1"/>
          <w:noProof w:val="0"/>
          <w:color w:val="1F1F1F"/>
          <w:sz w:val="24"/>
          <w:szCs w:val="24"/>
          <w:lang w:val="pt-BR"/>
        </w:rPr>
        <w:t>Filter Chain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e executa a regra de negócio.</w:t>
      </w:r>
    </w:p>
    <w:p xmlns:wp14="http://schemas.microsoft.com/office/word/2010/wordml" w:rsidP="117641EC" wp14:paraId="0B3E362D" wp14:textId="7771D3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Acesso ao Banco de Dados: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A task do Fargate comunica-se com o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Amazon RDS PostgreSQL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(alocado na subnet privada de dados). A transação ACID é processada e persistida.</w:t>
      </w:r>
    </w:p>
    <w:p xmlns:wp14="http://schemas.microsoft.com/office/word/2010/wordml" w:rsidP="117641EC" wp14:paraId="64A8D878" wp14:textId="7A9C25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Saída de Serviço (Se necessário):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Caso o backend precise disparar uma notificação externa ou consultar uma API de terceiro, ele roteia o tráfego de saída através do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NAT Gateway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situado na subnet pública.</w:t>
      </w:r>
    </w:p>
    <w:p xmlns:wp14="http://schemas.microsoft.com/office/word/2010/wordml" w:rsidP="117641EC" wp14:paraId="310F1869" wp14:textId="72327E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Resposta: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 O caminho inverso é realizado, entregando o JSON de resposta ao usuário com latência otimizada.</w:t>
      </w:r>
    </w:p>
    <w:p xmlns:wp14="http://schemas.microsoft.com/office/word/2010/wordml" w:rsidP="117641EC" wp14:paraId="369C2759" wp14:textId="52A2B682">
      <w:pPr>
        <w:pStyle w:val="Heading2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36"/>
          <w:szCs w:val="36"/>
          <w:lang w:val="pt-BR"/>
        </w:rPr>
        <w:t>4. Catálogo de Serviços AWS e Precificação</w:t>
      </w:r>
    </w:p>
    <w:p xmlns:wp14="http://schemas.microsoft.com/office/word/2010/wordml" w:rsidP="117641EC" wp14:paraId="4EFB236D" wp14:textId="3057746E">
      <w:pPr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 xml:space="preserve">Os custos abaixo foram calculados considerando a região de </w:t>
      </w: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4"/>
          <w:szCs w:val="24"/>
          <w:lang w:val="pt-BR"/>
        </w:rPr>
        <w:t>N. Virginia (us-east-1)</w:t>
      </w: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. Os serviços elegíveis ao AWS Free Tier foram zerados, assumindo que a conta cumpre os requisitos de novos usuários (12 meses grátis).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80"/>
        <w:gridCol w:w="2004"/>
        <w:gridCol w:w="1356"/>
        <w:gridCol w:w="1356"/>
      </w:tblGrid>
      <w:tr w:rsidR="117641EC" w:rsidTr="117641EC" w14:paraId="004338C0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B67A933" w14:textId="10EF0D2D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Serviço AWS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6CCDAC3" w14:textId="12CABD18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Descrição e Papel na Arquitetura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2E2552B1" w14:textId="28746D2D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Custo Estimado (1 Semana)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20B5860E" w14:textId="259EEB5D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Custo Estimado (Mensal)</w:t>
            </w:r>
          </w:p>
        </w:tc>
      </w:tr>
      <w:tr w:rsidR="117641EC" w:rsidTr="117641EC" w14:paraId="444ABA17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A5660C1" w14:textId="5409D8F9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Amazon Route 53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30394B6" w14:textId="1B87640F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Hospedagem de zona DNS e roteamento do domínio.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23B836B" w14:textId="5D421C44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0,50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5924D8F7" w14:textId="439E96C3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0,50</w:t>
            </w:r>
          </w:p>
        </w:tc>
      </w:tr>
      <w:tr w:rsidR="117641EC" w:rsidTr="117641EC" w14:paraId="623696C5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9733908" w14:textId="1C359071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Amazon CloudFront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1EF5024" w14:textId="2A8B115B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Distribuição global do frontend. Proteção de borda.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9124251" w14:textId="28D4B9A5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59B3442A" w14:textId="02FA787F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</w:tr>
      <w:tr w:rsidR="117641EC" w:rsidTr="117641EC" w14:paraId="4BFB6F3C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21CAEA9C" w14:textId="5B61FD5F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Amazon S3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0F1663B" w14:textId="73B1E555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Armazenamento privado dos arquivos estáticos do Next.js/React.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DEAF2B3" w14:textId="4AA3D963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76F6F768" w14:textId="378DDC8C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</w:tr>
      <w:tr w:rsidR="117641EC" w:rsidTr="117641EC" w14:paraId="5ADDD61E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3CD7B37" w14:textId="72789705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Application Load Balancer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B073AEB" w14:textId="2B807AA4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Distribuidor de tráfego HTTP/HTTPS entre as AZs.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379CBD7D" w14:textId="26A60816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3722912F" w14:textId="6B180591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</w:tr>
      <w:tr w:rsidR="117641EC" w:rsidTr="117641EC" w14:paraId="5709ED91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6287098" w14:textId="3BC5D26B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AWS ECS Fargate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791DEF01" w14:textId="7DB004A5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Execução serverless do container Docker (Spring Boot). Configuração: 0.5 vCPU e 1 GB RAM.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1FF0E0D" w14:textId="6FC177EC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4,15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F96B17A" w14:textId="4F7F97A4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17,80</w:t>
            </w:r>
          </w:p>
        </w:tc>
      </w:tr>
      <w:tr w:rsidR="117641EC" w:rsidTr="117641EC" w14:paraId="34BC8C73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81E2245" w14:textId="20817EE7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AWS NAT Gateway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5EABEE2" w14:textId="7C1A239B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Tradução de endereços para saída de internet da subnet privada.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77610656" w14:textId="798E1A5C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7,56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21FF40B0" w14:textId="76540266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32,40</w:t>
            </w:r>
          </w:p>
        </w:tc>
      </w:tr>
      <w:tr w:rsidR="117641EC" w:rsidTr="117641EC" w14:paraId="5F65FD02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2D8BF80B" w14:textId="6B6CD7B8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AWS Elastic IP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577E15CF" w14:textId="47EF6E85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IP público obrigatório atrelado ao NAT Gateway.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D6F61EB" w14:textId="3DE7A0A9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0,84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3FE1BE9" w14:textId="47D0E44F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3,60</w:t>
            </w:r>
          </w:p>
        </w:tc>
      </w:tr>
      <w:tr w:rsidR="117641EC" w:rsidTr="117641EC" w14:paraId="230A1013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3C7270F2" w14:textId="6493205A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NAT Data Processing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4BFC38C" w14:textId="0E7C115A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Volume de processamento de dados pelo NAT (estimado em 5 GB).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3FB644F" w14:textId="74DC6272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0,23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95A899C" w14:textId="5E5EF439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1,00</w:t>
            </w:r>
          </w:p>
        </w:tc>
      </w:tr>
      <w:tr w:rsidR="117641EC" w:rsidTr="117641EC" w14:paraId="01706B7D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3E6983D6" w14:textId="55E5C84B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Amazon RDS PostgreSQL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693CC63" w14:textId="690FA199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Instância Single-AZ (</w:t>
            </w:r>
            <w:r w:rsidRPr="117641EC" w:rsidR="117641E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db.t3.micro</w:t>
            </w:r>
            <w:r w:rsidRPr="117641EC" w:rsidR="117641EC">
              <w:rPr>
                <w:color w:val="1F1F1F"/>
              </w:rPr>
              <w:t>) com 20 GB de storage.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F51EF6A" w14:textId="48895B9D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45ED5AE" w14:textId="7714E61A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</w:tr>
      <w:tr w:rsidR="117641EC" w:rsidTr="117641EC" w14:paraId="7D5630BC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5814F195" w14:textId="6CEA64C7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AWS Secrets Manager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3ABF7822" w14:textId="1354855D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Armazenamento de variáveis sensíveis e credenciais.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5DA95806" w14:textId="2AECC0BF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0,10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7B6D76FF" w14:textId="7230735C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0,40</w:t>
            </w:r>
          </w:p>
        </w:tc>
      </w:tr>
      <w:tr w:rsidR="117641EC" w:rsidTr="117641EC" w14:paraId="3805258B">
        <w:trPr>
          <w:trHeight w:val="300"/>
        </w:trPr>
        <w:tc>
          <w:tcPr>
            <w:tcW w:w="16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2AA6386" w14:textId="57BAAEB5">
            <w:pPr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Amazon CloudWatch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776DE0C6" w14:textId="7453AF43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Centralização de logs e métricas de desempenho.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2085D1D1" w14:textId="5299DAA7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  <w:tc>
          <w:tcPr>
            <w:tcW w:w="13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257ED91" w14:textId="71A3A8D7">
            <w:pPr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 xml:space="preserve">USD 0,00 </w:t>
            </w:r>
            <w:r w:rsidRPr="117641EC" w:rsidR="117641EC">
              <w:rPr>
                <w:i w:val="1"/>
                <w:iCs w:val="1"/>
                <w:color w:val="1F1F1F"/>
              </w:rPr>
              <w:t>(Free Tier)</w:t>
            </w:r>
          </w:p>
        </w:tc>
      </w:tr>
    </w:tbl>
    <w:p xmlns:wp14="http://schemas.microsoft.com/office/word/2010/wordml" w:rsidP="117641EC" wp14:paraId="71F3BD89" wp14:textId="036098FC">
      <w:pPr>
        <w:pStyle w:val="Heading2"/>
        <w:bidi w:val="0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36"/>
          <w:szCs w:val="36"/>
          <w:lang w:val="pt-BR"/>
        </w:rPr>
        <w:t>5. Projeção de Escala de Custos por Período</w:t>
      </w:r>
    </w:p>
    <w:p xmlns:wp14="http://schemas.microsoft.com/office/word/2010/wordml" w:rsidP="117641EC" wp14:paraId="15AA178D" wp14:textId="64F62886">
      <w:pPr>
        <w:bidi w:val="0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Para apoiar o planejamento financeiro do uso dos créditos da AWS, a tabela abaixo demonstra o comportamento acumulado dos gastos ao longo do tempo, considerando o consumo constante de dados.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04"/>
        <w:gridCol w:w="2376"/>
        <w:gridCol w:w="1380"/>
        <w:gridCol w:w="1560"/>
      </w:tblGrid>
      <w:tr w:rsidR="117641EC" w:rsidTr="117641EC" w14:paraId="7448FC70">
        <w:trPr>
          <w:trHeight w:val="300"/>
        </w:trPr>
        <w:tc>
          <w:tcPr>
            <w:tcW w:w="14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FFC6CAB" w14:textId="6206F9A4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Período de Execução</w:t>
            </w:r>
          </w:p>
        </w:tc>
        <w:tc>
          <w:tcPr>
            <w:tcW w:w="23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3E4A42F3" w14:textId="6BC701E5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Custo de Computação/Rede (Fargate + NAT)</w:t>
            </w:r>
          </w:p>
        </w:tc>
        <w:tc>
          <w:tcPr>
            <w:tcW w:w="13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2B99FDE3" w14:textId="6B7BFC83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Taxas Fixas / Consumo (Route 53 + Secrets)</w:t>
            </w:r>
          </w:p>
        </w:tc>
        <w:tc>
          <w:tcPr>
            <w:tcW w:w="15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51361BC" w14:textId="5E403CE0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Custo Total Acumulado</w:t>
            </w:r>
          </w:p>
        </w:tc>
      </w:tr>
      <w:tr w:rsidR="117641EC" w:rsidTr="117641EC" w14:paraId="0D2BA704">
        <w:trPr>
          <w:trHeight w:val="300"/>
        </w:trPr>
        <w:tc>
          <w:tcPr>
            <w:tcW w:w="14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7E2159A5" w14:textId="61FCF411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1 Semana</w:t>
            </w:r>
          </w:p>
        </w:tc>
        <w:tc>
          <w:tcPr>
            <w:tcW w:w="23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CD51EE1" w14:textId="039BBE73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12,78</w:t>
            </w:r>
          </w:p>
        </w:tc>
        <w:tc>
          <w:tcPr>
            <w:tcW w:w="13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6220B13" w14:textId="4C84EF8E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0,60</w:t>
            </w:r>
          </w:p>
        </w:tc>
        <w:tc>
          <w:tcPr>
            <w:tcW w:w="15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7E314D0" w14:textId="01B4061E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USD 13,38</w:t>
            </w:r>
          </w:p>
        </w:tc>
      </w:tr>
      <w:tr w:rsidR="117641EC" w:rsidTr="117641EC" w14:paraId="003289EF">
        <w:trPr>
          <w:trHeight w:val="300"/>
        </w:trPr>
        <w:tc>
          <w:tcPr>
            <w:tcW w:w="14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510EB25C" w14:textId="49F32CB0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2 Semanas</w:t>
            </w:r>
          </w:p>
        </w:tc>
        <w:tc>
          <w:tcPr>
            <w:tcW w:w="23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DD104E4" w14:textId="0A0352AD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25,56</w:t>
            </w:r>
          </w:p>
        </w:tc>
        <w:tc>
          <w:tcPr>
            <w:tcW w:w="13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545D330C" w14:textId="27814B21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0,65</w:t>
            </w:r>
          </w:p>
        </w:tc>
        <w:tc>
          <w:tcPr>
            <w:tcW w:w="15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77CF7BF0" w14:textId="21D6E861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USD 26,21</w:t>
            </w:r>
          </w:p>
        </w:tc>
      </w:tr>
      <w:tr w:rsidR="117641EC" w:rsidTr="117641EC" w14:paraId="7188D9FD">
        <w:trPr>
          <w:trHeight w:val="300"/>
        </w:trPr>
        <w:tc>
          <w:tcPr>
            <w:tcW w:w="14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087A2EC" w14:textId="0340C646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3 Semanas</w:t>
            </w:r>
          </w:p>
        </w:tc>
        <w:tc>
          <w:tcPr>
            <w:tcW w:w="23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590816B4" w14:textId="450F62FC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38,34</w:t>
            </w:r>
          </w:p>
        </w:tc>
        <w:tc>
          <w:tcPr>
            <w:tcW w:w="13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46FC17C6" w14:textId="19F4EE76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0,70</w:t>
            </w:r>
          </w:p>
        </w:tc>
        <w:tc>
          <w:tcPr>
            <w:tcW w:w="15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F0AD40E" w14:textId="3ACEE514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USD 39,04</w:t>
            </w:r>
          </w:p>
        </w:tc>
      </w:tr>
      <w:tr w:rsidR="117641EC" w:rsidTr="117641EC" w14:paraId="61010520">
        <w:trPr>
          <w:trHeight w:val="300"/>
        </w:trPr>
        <w:tc>
          <w:tcPr>
            <w:tcW w:w="14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0D02752A" w14:textId="108A8840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4 Semanas (1 Mês)</w:t>
            </w:r>
          </w:p>
        </w:tc>
        <w:tc>
          <w:tcPr>
            <w:tcW w:w="23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D06ED19" w14:textId="7593DE0F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51,12</w:t>
            </w:r>
          </w:p>
        </w:tc>
        <w:tc>
          <w:tcPr>
            <w:tcW w:w="13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6BBA07B8" w14:textId="3EC1FD0C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color w:val="1F1F1F"/>
              </w:rPr>
              <w:t>USD 0,75</w:t>
            </w:r>
          </w:p>
        </w:tc>
        <w:tc>
          <w:tcPr>
            <w:tcW w:w="15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7641EC" w:rsidP="117641EC" w:rsidRDefault="117641EC" w14:paraId="1ADD9ED4" w14:textId="5422A76E">
            <w:pPr>
              <w:bidi w:val="0"/>
              <w:spacing w:before="0" w:beforeAutospacing="off" w:after="0" w:afterAutospacing="off"/>
            </w:pPr>
            <w:r w:rsidRPr="117641EC" w:rsidR="117641EC">
              <w:rPr>
                <w:b w:val="1"/>
                <w:bCs w:val="1"/>
                <w:color w:val="1F1F1F"/>
              </w:rPr>
              <w:t>USD 51,87</w:t>
            </w:r>
          </w:p>
        </w:tc>
      </w:tr>
    </w:tbl>
    <w:p xmlns:wp14="http://schemas.microsoft.com/office/word/2010/wordml" w:rsidP="117641EC" wp14:paraId="12BA12C8" wp14:textId="0220B5CB">
      <w:pPr>
        <w:pStyle w:val="Heading3"/>
        <w:bidi w:val="0"/>
        <w:spacing w:before="0" w:beforeAutospacing="off"/>
      </w:pPr>
      <w:r w:rsidRPr="117641EC" w:rsidR="06BAFA40">
        <w:rPr>
          <w:rFonts w:ascii="Aptos Narrow" w:hAnsi="Aptos Narrow" w:eastAsia="Aptos Narrow" w:cs="Aptos Narrow"/>
          <w:b w:val="1"/>
          <w:bCs w:val="1"/>
          <w:noProof w:val="0"/>
          <w:color w:val="1F1F1F"/>
          <w:sz w:val="28"/>
          <w:szCs w:val="28"/>
          <w:lang w:val="pt-BR"/>
        </w:rPr>
        <w:t>Fórmula de Projeção Linear (Até 4 semanas):</w:t>
      </w:r>
    </w:p>
    <w:p xmlns:wp14="http://schemas.microsoft.com/office/word/2010/wordml" w:rsidP="117641EC" wp14:paraId="2938563C" wp14:textId="7EF5FE45">
      <w:pPr>
        <w:bidi w:val="0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noProof w:val="0"/>
          <w:color w:val="1F1F1F"/>
          <w:sz w:val="24"/>
          <w:szCs w:val="24"/>
          <w:lang w:val="pt-BR"/>
        </w:rPr>
        <w:t>$$\text{Custo Total (USD)} = (12,78 \times N) + 0,60$$</w:t>
      </w:r>
    </w:p>
    <w:p xmlns:wp14="http://schemas.microsoft.com/office/word/2010/wordml" w:rsidP="117641EC" wp14:paraId="5CB1177A" wp14:textId="2FD76C74">
      <w:pPr>
        <w:bidi w:val="0"/>
        <w:spacing w:before="0" w:beforeAutospacing="off" w:after="0" w:afterAutospacing="off"/>
      </w:pPr>
      <w:r w:rsidRPr="117641EC" w:rsidR="06BAFA40">
        <w:rPr>
          <w:rFonts w:ascii="Aptos Narrow" w:hAnsi="Aptos Narrow" w:eastAsia="Aptos Narrow" w:cs="Aptos Narrow"/>
          <w:i w:val="1"/>
          <w:iCs w:val="1"/>
          <w:noProof w:val="0"/>
          <w:color w:val="1F1F1F"/>
          <w:sz w:val="24"/>
          <w:szCs w:val="24"/>
          <w:lang w:val="pt-BR"/>
        </w:rPr>
        <w:t>(Onde $N$ representa o número de semanas de execução dentro do mesmo mês corrente).</w:t>
      </w:r>
    </w:p>
    <w:p xmlns:wp14="http://schemas.microsoft.com/office/word/2010/wordml" wp14:paraId="1E207724" wp14:textId="79C1022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4dd6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13DF5"/>
    <w:rsid w:val="06BAFA40"/>
    <w:rsid w:val="117641EC"/>
    <w:rsid w:val="16113DF5"/>
    <w:rsid w:val="27141485"/>
    <w:rsid w:val="4CD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4FE5"/>
  <w15:chartTrackingRefBased/>
  <w15:docId w15:val="{4C9C79A9-51BD-4478-878B-46EB7DFD95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7641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17641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7641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7641E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2401003" /><Relationship Type="http://schemas.openxmlformats.org/officeDocument/2006/relationships/numbering" Target="numbering.xml" Id="R4f5df153ec284f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Narro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2026-06-03T16:38:34.5376684Z</dcterms:created>
  <dcterms:modified xsi:type="dcterms:W3CDTF">2026-06-03T16:48:24.6779549Z</dcterms:modified>
  <dc:creator>Gabriel Falcao</dc:creator>
  <lastModifiedBy>Gabriel Falcao</lastModifiedBy>
</coreProperties>
</file>