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Levantamento de Requisitos - SafeWallet Core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Este documento consolida a especificação técnica atualizada dos requisitos funcionais e não funcionais do ecossistema SafeWallet, mapeando o progresso consolidado do fatiamento vertical e determinando as lacunas lógicas pendentes para a conclusão da funcionalidade de usuários e autenticação.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Requisitos Funcionais (RF)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Mapeamento das funcionalidades de negócio desenvolvidas e simuladas: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Descrição do Requisito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Status de Implementação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Cadastro de Usuário Titular: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sistema deve permitir o cadastro de novos usuários coletando nome, e-mail e senha através de payloads padronizados.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rtl w:val="0"/>
              </w:rPr>
              <w:t xml:space="preserve">CONCLUÍDO NA BORDA (Mockado)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rtl w:val="0"/>
              </w:rPr>
              <w:t xml:space="preserve">Contratos UserRequestDTO e UserResponseDTO ativos e mapeados no UserController.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RF-002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Autenticação de Usuário (Login):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O sistema deve autenticar titulares utilizando e-mail e senha cadastrados no sistema.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ef6c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6c00"/>
                <w:shd w:fill="auto" w:val="clear"/>
                <w:rtl w:val="0"/>
              </w:rPr>
              <w:t xml:space="preserve">PENDENTE (Ajuste de DTO)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ef6c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f6c00"/>
                <w:shd w:fill="auto" w:val="clear"/>
                <w:rtl w:val="0"/>
              </w:rPr>
              <w:t xml:space="preserve">A rota POST /users/login foi criada no controle, mas necessita de segregação de DTOs exclusivos de autenticação.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Garantia de Unicidade de Credenciais: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sistema deve impedir o cadastro de dois usuários utilizando o mesmo e-mail corporativo.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288d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88d1"/>
                <w:rtl w:val="0"/>
              </w:rPr>
              <w:t xml:space="preserve">ESTRUTURADO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288d1"/>
              </w:rPr>
            </w:pPr>
            <w:r w:rsidDel="00000000" w:rsidR="00000000" w:rsidRPr="00000000">
              <w:rPr>
                <w:rFonts w:ascii="Arial" w:cs="Arial" w:eastAsia="Arial" w:hAnsi="Arial"/>
                <w:color w:val="0288d1"/>
                <w:rtl w:val="0"/>
              </w:rPr>
              <w:t xml:space="preserve">UserEntity mapeada com constraint "unique" e UserRepository contendo as assinaturas derivadas de busca.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288d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Requisitos Não Funcionais (RNF)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Mapeamento dos critérios arquiteturais, de segurança e resiliência operacionais: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Descrição do Critério Técnico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Status de Implementação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Validação Rígida de Entrada: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ecossistema deve rejeitar strings corrompidas, nulas ou e-mails fora de padrão na camada de borda.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rtl w:val="0"/>
              </w:rPr>
              <w:t xml:space="preserve">100% CONCLUÍDO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rtl w:val="0"/>
              </w:rPr>
              <w:t xml:space="preserve">Homologado via Jakarta Bean Validation no payload de entrada (RequestDTO).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RNF-002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Criptografia Oculta de Segredos: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O sistema não deve expor ou salvar senhas em texto limpo no banco de dados.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c6282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hd w:fill="auto" w:val="clear"/>
                <w:rtl w:val="0"/>
              </w:rPr>
              <w:t xml:space="preserve">FALTANDO DO ALGORITMO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c6282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c62828"/>
                <w:shd w:fill="auto" w:val="clear"/>
                <w:rtl w:val="0"/>
              </w:rPr>
              <w:t xml:space="preserve">A ser injetado via PasswordEncoder (BCrypt) no fluxo interno da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Padronização de Respostas de Anomalias: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Erros internos ou de validação devem retornar no envelope imutável ApiErrorMessage.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rtl w:val="0"/>
              </w:rPr>
              <w:t xml:space="preserve">100% CONCLUÍDO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e7d32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rtl w:val="0"/>
              </w:rPr>
              <w:t xml:space="preserve">GlobalExceptionHandler operacional e validado via testes de caixa preta com respostas HTTP 400 estruturadas.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2e7d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Algoritmos e Camadas Pendentes (Backlog Operacional)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Para consolidar a persistência real de dados e a comunicação íntegra com o PostgreSQL, o seguinte backlog de fatiamento deve ser executado: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Segregação Semântica do Login:</w:t>
      </w:r>
      <w:r w:rsidDel="00000000" w:rsidR="00000000" w:rsidRPr="00000000">
        <w:rPr>
          <w:rtl w:val="0"/>
        </w:rPr>
        <w:t xml:space="preserve"> Substituição do UserRequestDTO no endpoint de login pela criação do LoginRequestDTO e LoginResponseDTO para evitar bloqueio de validação do campo "name".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Arquitetura da Classe de Serviço:</w:t>
      </w:r>
      <w:r w:rsidDel="00000000" w:rsidR="00000000" w:rsidRPr="00000000">
        <w:rPr>
          <w:rtl w:val="0"/>
        </w:rPr>
        <w:t xml:space="preserve"> Construção da classe CreateUserService com a anotação @Service para centralizar a lógica de negócios da SafeWallet.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Algoritmo de Intercepção de Duplicidade:</w:t>
      </w:r>
      <w:r w:rsidDel="00000000" w:rsidR="00000000" w:rsidRPr="00000000">
        <w:rPr>
          <w:rtl w:val="0"/>
        </w:rPr>
        <w:t xml:space="preserve"> Invocação do método userRepository.existsByEmail() lançando exceção personalizada de negócio (ex: EmailAlreadyExistsException).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Algoritmo de Hashing (BCrypt):</w:t>
      </w:r>
      <w:r w:rsidDel="00000000" w:rsidR="00000000" w:rsidRPr="00000000">
        <w:rPr>
          <w:rtl w:val="0"/>
        </w:rPr>
        <w:t xml:space="preserve"> Integração do Spring Security Crypto para processar as senhas na camada de serviço antes da chamada de gravação.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Persistência Definitiva:</w:t>
      </w:r>
      <w:r w:rsidDel="00000000" w:rsidR="00000000" w:rsidRPr="00000000">
        <w:rPr>
          <w:rtl w:val="0"/>
        </w:rPr>
        <w:t xml:space="preserve"> Substituição da instanciação provisória (Mock) do UserController pela execução do método .save() do repositório mapeado.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