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220" w:before="0" w:line="288" w:lineRule="auto"/>
        <w:rPr>
          <w:b w:val="1"/>
          <w:bCs w:val="1"/>
          <w:color w:val="ec7200"/>
          <w:sz w:val="48"/>
          <w:szCs w:val="48"/>
        </w:rPr>
      </w:pPr>
      <w:bookmarkStart w:colFirst="0" w:colLast="0" w:name="_wtzgkutwkpkd" w:id="0"/>
      <w:bookmarkEnd w:id="0"/>
      <w:r w:rsidDel="00000000" w:rsidR="00000000" w:rsidRPr="00000000">
        <w:rPr>
          <w:b w:val="1"/>
          <w:bCs w:val="1"/>
          <w:color w:val="ec7200"/>
          <w:sz w:val="48"/>
          <w:szCs w:val="48"/>
          <w:rtl w:val="0"/>
        </w:rPr>
        <w:t xml:space="preserve">Tecnologia para BackEnd</w:t>
      </w:r>
    </w:p>
    <w:p w:rsidR="00000000" w:rsidDel="00000000" w:rsidP="00000000" w:rsidRDefault="00000000" w:rsidRPr="00000000" w14:paraId="00000002">
      <w:pPr>
        <w:shd w:fill="f8f9fa" w:val="clear"/>
        <w:spacing w:after="0" w:before="0" w:lineRule="auto"/>
        <w:ind w:left="200" w:right="200" w:firstLine="0"/>
        <w:rPr>
          <w:color w:val="656565"/>
          <w:sz w:val="24"/>
          <w:szCs w:val="24"/>
          <w:highlight w:val="white"/>
        </w:rPr>
      </w:pPr>
      <w:r w:rsidDel="00000000" w:rsidR="00000000" w:rsidRPr="00000000">
        <w:rPr>
          <w:color w:val="656565"/>
          <w:sz w:val="24"/>
          <w:szCs w:val="24"/>
          <w:highlight w:val="white"/>
          <w:rtl w:val="0"/>
        </w:rPr>
        <w:t xml:space="preserve">Condições de conclusão</w:t>
      </w:r>
    </w:p>
    <w:p w:rsidR="00000000" w:rsidDel="00000000" w:rsidP="00000000" w:rsidRDefault="00000000" w:rsidRPr="00000000" w14:paraId="00000003">
      <w:pPr>
        <w:spacing w:after="240" w:lineRule="auto"/>
        <w:rPr>
          <w:color w:val="656565"/>
          <w:sz w:val="24"/>
          <w:szCs w:val="24"/>
        </w:rPr>
      </w:pPr>
      <w:r w:rsidDel="00000000" w:rsidR="00000000" w:rsidRPr="00000000">
        <w:rPr>
          <w:color w:val="656565"/>
          <w:sz w:val="24"/>
          <w:szCs w:val="24"/>
          <w:highlight w:val="white"/>
          <w:rtl w:val="0"/>
        </w:rPr>
        <w:t xml:space="preserve">Para adaptar o </w:t>
      </w:r>
      <w:r w:rsidDel="00000000" w:rsidR="00000000" w:rsidRPr="00000000">
        <w:rPr>
          <w:b w:val="1"/>
          <w:bCs w:val="1"/>
          <w:color w:val="656565"/>
          <w:sz w:val="24"/>
          <w:szCs w:val="24"/>
          <w:rtl w:val="0"/>
        </w:rPr>
        <w:t xml:space="preserve">Software Design Document (SDD)</w:t>
      </w:r>
      <w:r w:rsidDel="00000000" w:rsidR="00000000" w:rsidRPr="00000000">
        <w:rPr>
          <w:color w:val="656565"/>
          <w:sz w:val="24"/>
          <w:szCs w:val="24"/>
          <w:rtl w:val="0"/>
        </w:rPr>
        <w:t xml:space="preserve"> especificamente para o ecossistema </w:t>
      </w:r>
      <w:r w:rsidDel="00000000" w:rsidR="00000000" w:rsidRPr="00000000">
        <w:rPr>
          <w:b w:val="1"/>
          <w:bCs w:val="1"/>
          <w:color w:val="656565"/>
          <w:sz w:val="24"/>
          <w:szCs w:val="24"/>
          <w:rtl w:val="0"/>
        </w:rPr>
        <w:t xml:space="preserve">Java com Spring Boot</w:t>
      </w:r>
      <w:r w:rsidDel="00000000" w:rsidR="00000000" w:rsidRPr="00000000">
        <w:rPr>
          <w:color w:val="656565"/>
          <w:sz w:val="24"/>
          <w:szCs w:val="24"/>
          <w:rtl w:val="0"/>
        </w:rPr>
        <w:t xml:space="preserve">, precisamos definir a arquitetura de camadas padrão do framework e resolver um detalhe técnico importante: como o JPA/Hibernate lida com tabelas associativas que possuem colunas extras (como o </w:t>
      </w:r>
      <w:r w:rsidDel="00000000" w:rsidR="00000000" w:rsidRPr="00000000">
        <w:rPr>
          <w:rFonts w:ascii="Courier New" w:cs="Courier New" w:eastAsia="Courier New" w:hAnsi="Courier New"/>
          <w:color w:val="e83e8c"/>
          <w:sz w:val="21"/>
          <w:szCs w:val="21"/>
          <w:rtl w:val="0"/>
        </w:rPr>
        <w:t xml:space="preserve">preco_custo</w:t>
      </w:r>
      <w:r w:rsidDel="00000000" w:rsidR="00000000" w:rsidRPr="00000000">
        <w:rPr>
          <w:color w:val="656565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04">
      <w:pPr>
        <w:spacing w:after="240" w:lineRule="auto"/>
        <w:rPr>
          <w:color w:val="656565"/>
          <w:sz w:val="24"/>
          <w:szCs w:val="24"/>
        </w:rPr>
      </w:pPr>
      <w:r w:rsidDel="00000000" w:rsidR="00000000" w:rsidRPr="00000000">
        <w:rPr>
          <w:color w:val="656565"/>
          <w:sz w:val="24"/>
          <w:szCs w:val="24"/>
          <w:rtl w:val="0"/>
        </w:rPr>
        <w:t xml:space="preserve">Como temos dados na relação N:N, não podemos usar a anotação simples </w:t>
      </w:r>
      <w:r w:rsidDel="00000000" w:rsidR="00000000" w:rsidRPr="00000000">
        <w:rPr>
          <w:rFonts w:ascii="Courier New" w:cs="Courier New" w:eastAsia="Courier New" w:hAnsi="Courier New"/>
          <w:color w:val="e83e8c"/>
          <w:sz w:val="21"/>
          <w:szCs w:val="21"/>
          <w:rtl w:val="0"/>
        </w:rPr>
        <w:t xml:space="preserve">@ManyToMany</w:t>
      </w:r>
      <w:r w:rsidDel="00000000" w:rsidR="00000000" w:rsidRPr="00000000">
        <w:rPr>
          <w:color w:val="656565"/>
          <w:sz w:val="24"/>
          <w:szCs w:val="24"/>
          <w:rtl w:val="0"/>
        </w:rPr>
        <w:t xml:space="preserve">. Precisamos criar </w:t>
      </w:r>
      <w:r w:rsidDel="00000000" w:rsidR="00000000" w:rsidRPr="00000000">
        <w:rPr>
          <w:b w:val="1"/>
          <w:bCs w:val="1"/>
          <w:color w:val="656565"/>
          <w:sz w:val="24"/>
          <w:szCs w:val="24"/>
          <w:rtl w:val="0"/>
        </w:rPr>
        <w:t xml:space="preserve">três entidades JPA</w:t>
      </w:r>
      <w:r w:rsidDel="00000000" w:rsidR="00000000" w:rsidRPr="00000000">
        <w:rPr>
          <w:color w:val="656565"/>
          <w:sz w:val="24"/>
          <w:szCs w:val="24"/>
          <w:rtl w:val="0"/>
        </w:rPr>
        <w:t xml:space="preserve">, refletindo exatamente o banco de dados.</w:t>
      </w:r>
    </w:p>
    <w:p w:rsidR="00000000" w:rsidDel="00000000" w:rsidP="00000000" w:rsidRDefault="00000000" w:rsidRPr="00000000" w14:paraId="00000005">
      <w:pPr>
        <w:spacing w:after="240" w:lineRule="auto"/>
        <w:rPr>
          <w:color w:val="656565"/>
          <w:sz w:val="24"/>
          <w:szCs w:val="24"/>
        </w:rPr>
      </w:pPr>
      <w:r w:rsidDel="00000000" w:rsidR="00000000" w:rsidRPr="00000000">
        <w:rPr>
          <w:color w:val="656565"/>
          <w:sz w:val="24"/>
          <w:szCs w:val="24"/>
          <w:rtl w:val="0"/>
        </w:rPr>
        <w:t xml:space="preserve">Abaixo estão as especificações técnicas para o desenvolvimento em Spring Boot.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before="0" w:line="288" w:lineRule="auto"/>
        <w:rPr>
          <w:color w:val="ec7200"/>
          <w:sz w:val="51"/>
          <w:szCs w:val="51"/>
        </w:rPr>
      </w:pPr>
      <w:bookmarkStart w:colFirst="0" w:colLast="0" w:name="_ezpp4p76za2n" w:id="1"/>
      <w:bookmarkEnd w:id="1"/>
      <w:r w:rsidDel="00000000" w:rsidR="00000000" w:rsidRPr="00000000">
        <w:rPr>
          <w:color w:val="ec7200"/>
          <w:sz w:val="51"/>
          <w:szCs w:val="51"/>
          <w:rtl w:val="0"/>
        </w:rPr>
        <w:t xml:space="preserve">1. Stack e Dependências Principais (Maven/Gradle)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656565"/>
          <w:sz w:val="24"/>
          <w:szCs w:val="24"/>
          <w:rtl w:val="0"/>
        </w:rPr>
        <w:t xml:space="preserve">Spring Web:</w:t>
      </w:r>
      <w:r w:rsidDel="00000000" w:rsidR="00000000" w:rsidRPr="00000000">
        <w:rPr>
          <w:color w:val="656565"/>
          <w:sz w:val="24"/>
          <w:szCs w:val="24"/>
          <w:rtl w:val="0"/>
        </w:rPr>
        <w:t xml:space="preserve"> Para expor a API REST (</w:t>
      </w:r>
      <w:r w:rsidDel="00000000" w:rsidR="00000000" w:rsidRPr="00000000">
        <w:rPr>
          <w:rFonts w:ascii="Courier New" w:cs="Courier New" w:eastAsia="Courier New" w:hAnsi="Courier New"/>
          <w:color w:val="e83e8c"/>
          <w:sz w:val="21"/>
          <w:szCs w:val="21"/>
          <w:rtl w:val="0"/>
        </w:rPr>
        <w:t xml:space="preserve">@RestController</w:t>
      </w:r>
      <w:r w:rsidDel="00000000" w:rsidR="00000000" w:rsidRPr="00000000">
        <w:rPr>
          <w:color w:val="656565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656565"/>
          <w:sz w:val="24"/>
          <w:szCs w:val="24"/>
          <w:rtl w:val="0"/>
        </w:rPr>
        <w:t xml:space="preserve">Spring Data JPA:</w:t>
      </w:r>
      <w:r w:rsidDel="00000000" w:rsidR="00000000" w:rsidRPr="00000000">
        <w:rPr>
          <w:color w:val="656565"/>
          <w:sz w:val="24"/>
          <w:szCs w:val="24"/>
          <w:rtl w:val="0"/>
        </w:rPr>
        <w:t xml:space="preserve"> Para persistência e comunicação com o banco (</w:t>
      </w:r>
      <w:r w:rsidDel="00000000" w:rsidR="00000000" w:rsidRPr="00000000">
        <w:rPr>
          <w:rFonts w:ascii="Courier New" w:cs="Courier New" w:eastAsia="Courier New" w:hAnsi="Courier New"/>
          <w:color w:val="e83e8c"/>
          <w:sz w:val="21"/>
          <w:szCs w:val="21"/>
          <w:rtl w:val="0"/>
        </w:rPr>
        <w:t xml:space="preserve">JpaRepository</w:t>
      </w:r>
      <w:r w:rsidDel="00000000" w:rsidR="00000000" w:rsidRPr="00000000">
        <w:rPr>
          <w:color w:val="656565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656565"/>
          <w:sz w:val="24"/>
          <w:szCs w:val="24"/>
          <w:rtl w:val="0"/>
        </w:rPr>
        <w:t xml:space="preserve">PostgreSQL Driver:</w:t>
      </w:r>
      <w:r w:rsidDel="00000000" w:rsidR="00000000" w:rsidRPr="00000000">
        <w:rPr>
          <w:color w:val="656565"/>
          <w:sz w:val="24"/>
          <w:szCs w:val="24"/>
          <w:rtl w:val="0"/>
        </w:rPr>
        <w:t xml:space="preserve"> Comunicação com o banco relacional.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656565"/>
          <w:sz w:val="24"/>
          <w:szCs w:val="24"/>
          <w:rtl w:val="0"/>
        </w:rPr>
        <w:t xml:space="preserve">Lombok (Opcional, mas recomendado):</w:t>
      </w:r>
      <w:r w:rsidDel="00000000" w:rsidR="00000000" w:rsidRPr="00000000">
        <w:rPr>
          <w:color w:val="656565"/>
          <w:sz w:val="24"/>
          <w:szCs w:val="24"/>
          <w:rtl w:val="0"/>
        </w:rPr>
        <w:t xml:space="preserve"> Para reduzir o código boilerplate (Getters, Setters, Construtores).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color w:val="656565"/>
          <w:sz w:val="24"/>
          <w:szCs w:val="24"/>
          <w:rtl w:val="0"/>
        </w:rPr>
        <w:t xml:space="preserve">Spring Boot Validation:</w:t>
      </w:r>
      <w:r w:rsidDel="00000000" w:rsidR="00000000" w:rsidRPr="00000000">
        <w:rPr>
          <w:color w:val="656565"/>
          <w:sz w:val="24"/>
          <w:szCs w:val="24"/>
          <w:rtl w:val="0"/>
        </w:rPr>
        <w:t xml:space="preserve"> Para validar os </w:t>
      </w:r>
      <w:r w:rsidDel="00000000" w:rsidR="00000000" w:rsidRPr="00000000">
        <w:rPr>
          <w:i w:val="1"/>
          <w:iCs w:val="1"/>
          <w:color w:val="656565"/>
          <w:sz w:val="24"/>
          <w:szCs w:val="24"/>
          <w:rtl w:val="0"/>
        </w:rPr>
        <w:t xml:space="preserve">payloads</w:t>
      </w:r>
      <w:r w:rsidDel="00000000" w:rsidR="00000000" w:rsidRPr="00000000">
        <w:rPr>
          <w:color w:val="656565"/>
          <w:sz w:val="24"/>
          <w:szCs w:val="24"/>
          <w:rtl w:val="0"/>
        </w:rPr>
        <w:t xml:space="preserve"> de entrada (</w:t>
      </w:r>
      <w:r w:rsidDel="00000000" w:rsidR="00000000" w:rsidRPr="00000000">
        <w:rPr>
          <w:rFonts w:ascii="Courier New" w:cs="Courier New" w:eastAsia="Courier New" w:hAnsi="Courier New"/>
          <w:color w:val="e83e8c"/>
          <w:sz w:val="21"/>
          <w:szCs w:val="21"/>
          <w:rtl w:val="0"/>
        </w:rPr>
        <w:t xml:space="preserve">@NotNull</w:t>
      </w:r>
      <w:r w:rsidDel="00000000" w:rsidR="00000000" w:rsidRPr="00000000">
        <w:rPr>
          <w:color w:val="656565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e83e8c"/>
          <w:sz w:val="21"/>
          <w:szCs w:val="21"/>
          <w:rtl w:val="0"/>
        </w:rPr>
        <w:t xml:space="preserve">@NotBlank</w:t>
      </w:r>
      <w:r w:rsidDel="00000000" w:rsidR="00000000" w:rsidRPr="00000000">
        <w:rPr>
          <w:color w:val="656565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656565"/>
        <w:sz w:val="24"/>
        <w:szCs w:val="24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