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bookmarkStart w:id="0" w:name="_GoBack"/>
      <w:bookmarkEnd w:id="0"/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368C0FCA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676045">
        <w:rPr>
          <w:sz w:val="28"/>
          <w:szCs w:val="28"/>
        </w:rPr>
        <w:t>8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676045" w14:paraId="7B70CF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BEEB2" w14:textId="31CC1DB3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F58A" w14:textId="794E4E80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85E91" w14:textId="79F4DF35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09354" w14:textId="4CEDDA26" w:rsidR="00676045" w:rsidRDefault="00676045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9630F7" w14:paraId="2AC3E2D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E120" w14:textId="6B7735E5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F4BFB" w14:textId="741D827C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E7B3" w14:textId="6B3A623B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FA043" w14:textId="1B2D419D" w:rsidR="009630F7" w:rsidRDefault="009630F7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C13968" w14:paraId="563D8B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C9C31" w14:textId="6AD54EA1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B28F" w14:textId="1212806B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D89D" w14:textId="22126F8E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CF83" w14:textId="3969914D" w:rsidR="00C13968" w:rsidRDefault="00C13968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3A4A648E" w14:textId="77777777" w:rsidR="00051D3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30835" w:history="1">
            <w:r w:rsidR="00051D38" w:rsidRPr="009F4D28">
              <w:rPr>
                <w:rStyle w:val="Hyperlink"/>
                <w:noProof/>
              </w:rPr>
              <w:t>1.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Introdução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0075A6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6" w:history="1">
            <w:r w:rsidR="00051D38" w:rsidRPr="009F4D28">
              <w:rPr>
                <w:rStyle w:val="Hyperlink"/>
                <w:noProof/>
              </w:rPr>
              <w:t>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Finalidade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AE47E1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7" w:history="1">
            <w:r w:rsidR="00051D38" w:rsidRPr="009F4D28">
              <w:rPr>
                <w:rStyle w:val="Hyperlink"/>
                <w:noProof/>
              </w:rPr>
              <w:t>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Escopo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0087620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8" w:history="1">
            <w:r w:rsidR="00051D38" w:rsidRPr="009F4D28">
              <w:rPr>
                <w:rStyle w:val="Hyperlink"/>
                <w:noProof/>
              </w:rPr>
              <w:t>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Definições, acrônimos e abreviações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FA89F56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9" w:history="1">
            <w:r w:rsidR="00051D38" w:rsidRPr="009F4D28">
              <w:rPr>
                <w:rStyle w:val="Hyperlink"/>
                <w:noProof/>
              </w:rPr>
              <w:t>1.4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2F58DCB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0" w:history="1">
            <w:r w:rsidR="00051D38" w:rsidRPr="009F4D28">
              <w:rPr>
                <w:rStyle w:val="Hyperlink"/>
                <w:noProof/>
              </w:rPr>
              <w:t>2.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Metas e Restrições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14D7FA2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1" w:history="1">
            <w:r w:rsidR="00051D38" w:rsidRPr="009F4D28">
              <w:rPr>
                <w:rStyle w:val="Hyperlink"/>
                <w:noProof/>
              </w:rPr>
              <w:t>3.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Suposições e Dependências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7526505A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2" w:history="1">
            <w:r w:rsidR="00051D38" w:rsidRPr="009F4D28">
              <w:rPr>
                <w:rStyle w:val="Hyperlink"/>
                <w:noProof/>
              </w:rPr>
              <w:t>4.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Requisitos Arquiteturalmente Significantes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9E5791E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3" w:history="1">
            <w:r w:rsidR="00051D38" w:rsidRPr="009F4D28">
              <w:rPr>
                <w:rStyle w:val="Hyperlink"/>
                <w:noProof/>
              </w:rPr>
              <w:t>5.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Decisões, restrições e justificativas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_Toc106230843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644771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4" w:history="1">
            <w:r w:rsidR="00051D38" w:rsidRPr="009F4D28">
              <w:rPr>
                <w:rStyle w:val="Hyperlink"/>
                <w:noProof/>
              </w:rPr>
              <w:t>6.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Camadas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_Toc106230844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915A832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5" w:history="1">
            <w:r w:rsidR="00051D38" w:rsidRPr="009F4D28">
              <w:rPr>
                <w:rStyle w:val="Hyperlink"/>
                <w:noProof/>
              </w:rPr>
              <w:t>7.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EE26073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6" w:history="1">
            <w:r w:rsidR="00051D38" w:rsidRPr="009F4D28">
              <w:rPr>
                <w:rStyle w:val="Hyperlink"/>
                <w:noProof/>
              </w:rPr>
              <w:t>7.1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Estrutural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D9B1743" w14:textId="77777777" w:rsidR="00051D38" w:rsidRDefault="0043112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7" w:history="1">
            <w:r w:rsidR="00051D38" w:rsidRPr="009F4D28">
              <w:rPr>
                <w:rStyle w:val="Hyperlink"/>
                <w:noProof/>
              </w:rPr>
              <w:t>7.1.1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1D82601" w14:textId="77777777" w:rsidR="00051D38" w:rsidRDefault="0043112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8" w:history="1">
            <w:r w:rsidR="00051D38" w:rsidRPr="009F4D28">
              <w:rPr>
                <w:rStyle w:val="Hyperlink"/>
                <w:noProof/>
              </w:rPr>
              <w:t>7.1.2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Pacotes Significativos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8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C36C4D6" w14:textId="77777777" w:rsidR="00051D38" w:rsidRDefault="0043112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9" w:history="1">
            <w:r w:rsidR="00051D38" w:rsidRPr="009F4D28">
              <w:rPr>
                <w:rStyle w:val="Hyperlink"/>
                <w:noProof/>
              </w:rPr>
              <w:t>7.1.3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Classes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9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2A22BA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0" w:history="1">
            <w:r w:rsidR="00051D38" w:rsidRPr="009F4D28">
              <w:rPr>
                <w:rStyle w:val="Hyperlink"/>
                <w:noProof/>
              </w:rPr>
              <w:t>7.2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Casos de Uso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10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783235F" w14:textId="77777777" w:rsidR="00051D38" w:rsidRDefault="0043112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1" w:history="1">
            <w:r w:rsidR="00051D38" w:rsidRPr="009F4D28">
              <w:rPr>
                <w:rStyle w:val="Hyperlink"/>
                <w:noProof/>
              </w:rPr>
              <w:t>7.3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de Classes Participantes (VCP)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11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F0B944" w14:textId="77777777" w:rsidR="00051D38" w:rsidRDefault="0043112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2" w:history="1">
            <w:r w:rsidR="00051D38" w:rsidRPr="009F4D28">
              <w:rPr>
                <w:rStyle w:val="Hyperlink"/>
                <w:noProof/>
              </w:rPr>
              <w:t>8.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Qualidade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67B47">
              <w:rPr>
                <w:noProof/>
                <w:webHidden/>
              </w:rPr>
              <w:t>14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" w:name="_Toc106230835"/>
      <w:r w:rsidRPr="002B43CD">
        <w:t>Introdução</w:t>
      </w:r>
      <w:bookmarkEnd w:id="1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2" w:name="_Toc106230836"/>
      <w:r w:rsidRPr="002B43CD">
        <w:t>Finalidade</w:t>
      </w:r>
      <w:bookmarkEnd w:id="2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3" w:name="_1fob9te" w:colFirst="0" w:colLast="0"/>
      <w:bookmarkEnd w:id="3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30837"/>
      <w:r w:rsidRPr="002B43CD">
        <w:t>Escopo</w:t>
      </w:r>
      <w:bookmarkEnd w:id="4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30838"/>
      <w:r w:rsidRPr="002B43CD">
        <w:t>Definições, acrônimos e abreviações</w:t>
      </w:r>
      <w:bookmarkEnd w:id="5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Delete,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6" w:name="_Toc106230839"/>
      <w:r w:rsidRPr="002B43CD">
        <w:t>Visão Geral</w:t>
      </w:r>
      <w:bookmarkEnd w:id="6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30840"/>
      <w:r w:rsidRPr="002B43CD">
        <w:t>Metas e Restrições da Arquitetura</w:t>
      </w:r>
      <w:bookmarkEnd w:id="7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r w:rsidR="00C07A47">
        <w:rPr>
          <w:rFonts w:ascii="Arial" w:hAnsi="Arial" w:cs="Arial"/>
          <w:i/>
        </w:rPr>
        <w:t>SpringMVC</w:t>
      </w:r>
      <w:proofErr w:type="spell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r w:rsidRPr="002B43CD">
        <w:rPr>
          <w:rFonts w:ascii="Arial" w:hAnsi="Arial" w:cs="Arial"/>
          <w:i/>
        </w:rPr>
        <w:t>PostgreSQL</w:t>
      </w:r>
      <w:proofErr w:type="spell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8" w:name="_Toc106230841"/>
      <w:r w:rsidRPr="002B43CD">
        <w:t>Suposições e Dependências</w:t>
      </w:r>
      <w:bookmarkEnd w:id="8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9" w:name="_Toc106230842"/>
      <w:r w:rsidRPr="002B43CD">
        <w:lastRenderedPageBreak/>
        <w:t>Requisitos Arquiteturalmente Significantes</w:t>
      </w:r>
      <w:bookmarkEnd w:id="9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10" w:name="_Toc106230843"/>
      <w:r>
        <w:t>Decisões, r</w:t>
      </w:r>
      <w:r w:rsidR="00CB38B1" w:rsidRPr="002B43CD">
        <w:t>estrições e justificativas</w:t>
      </w:r>
      <w:bookmarkEnd w:id="10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</w:rPr>
        <w:t>SpringMVC</w:t>
      </w:r>
      <w:proofErr w:type="spell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r w:rsidR="00E3545D">
        <w:rPr>
          <w:rFonts w:ascii="Arial" w:hAnsi="Arial" w:cs="Arial"/>
        </w:rPr>
        <w:t>SpringBoot</w:t>
      </w:r>
      <w:proofErr w:type="spell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implementação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r w:rsidRPr="00E3545D">
        <w:rPr>
          <w:rFonts w:ascii="Arial" w:hAnsi="Arial" w:cs="Arial"/>
          <w:i/>
        </w:rPr>
        <w:t>PostgreSQL</w:t>
      </w:r>
      <w:proofErr w:type="spell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30844"/>
      <w:r w:rsidRPr="002B43CD">
        <w:t>Camadas da Arquitetura</w:t>
      </w:r>
      <w:bookmarkEnd w:id="11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230845"/>
      <w:r w:rsidRPr="002B43CD">
        <w:lastRenderedPageBreak/>
        <w:t>Visões da Arquitetura</w:t>
      </w:r>
      <w:bookmarkEnd w:id="12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3" w:name="_Toc106230846"/>
      <w:r w:rsidRPr="002B43CD">
        <w:t xml:space="preserve">Visão </w:t>
      </w:r>
      <w:r w:rsidR="00EE116D" w:rsidRPr="002B43CD">
        <w:t>Estrutural</w:t>
      </w:r>
      <w:bookmarkEnd w:id="13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4" w:name="_Toc106230847"/>
      <w:r w:rsidRPr="002B43CD">
        <w:t>Visão Geral</w:t>
      </w:r>
      <w:bookmarkEnd w:id="14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r w:rsidR="00D05352">
        <w:rPr>
          <w:rFonts w:ascii="Arial" w:hAnsi="Arial" w:cs="Arial"/>
          <w:i/>
        </w:rPr>
        <w:t>View</w:t>
      </w:r>
      <w:proofErr w:type="spell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5" w:name="_Toc10623084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5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7CB2BA70" w:rsidR="002B43CD" w:rsidRPr="002B43CD" w:rsidRDefault="000D3B83" w:rsidP="002B43CD">
      <w:pPr>
        <w:pStyle w:val="Ttulo3"/>
        <w:numPr>
          <w:ilvl w:val="2"/>
          <w:numId w:val="5"/>
        </w:numPr>
      </w:pPr>
      <w:bookmarkStart w:id="16" w:name="_Toc106230849"/>
      <w:r w:rsidRPr="002B43CD">
        <w:lastRenderedPageBreak/>
        <w:t>Estrutura de Classes</w:t>
      </w:r>
      <w:bookmarkEnd w:id="16"/>
    </w:p>
    <w:p w14:paraId="042B3993" w14:textId="0AED8CF6" w:rsidR="009630F7" w:rsidRDefault="009630F7" w:rsidP="000D3B8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4577B5" wp14:editId="05E70F8D">
            <wp:extent cx="5943600" cy="3475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F33" w14:textId="6FA7671A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30850"/>
      <w:r w:rsidRPr="002B43CD">
        <w:lastRenderedPageBreak/>
        <w:t>Casos de Uso</w:t>
      </w:r>
      <w:bookmarkEnd w:id="17"/>
    </w:p>
    <w:p w14:paraId="7FE11072" w14:textId="0044E458" w:rsidR="007F5C02" w:rsidRPr="002B43CD" w:rsidRDefault="00676045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28D17B43">
            <wp:simplePos x="0" y="0"/>
            <wp:positionH relativeFrom="margin">
              <wp:posOffset>179070</wp:posOffset>
            </wp:positionH>
            <wp:positionV relativeFrom="margin">
              <wp:posOffset>556895</wp:posOffset>
            </wp:positionV>
            <wp:extent cx="5612130" cy="425640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38B1" w:rsidRPr="002B43CD">
        <w:rPr>
          <w:rFonts w:ascii="Arial" w:hAnsi="Arial" w:cs="Arial"/>
        </w:rPr>
        <w:t>O seguinte diagrama descreve os casos de uso do sistema.</w:t>
      </w:r>
    </w:p>
    <w:p w14:paraId="7840EF0E" w14:textId="14F46EA1" w:rsidR="007F5C02" w:rsidRPr="002B43CD" w:rsidRDefault="007F5C02">
      <w:pPr>
        <w:ind w:left="720"/>
        <w:rPr>
          <w:rFonts w:ascii="Arial" w:hAnsi="Arial" w:cs="Arial"/>
        </w:rPr>
      </w:pP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30851"/>
      <w:r w:rsidRPr="002B43CD">
        <w:lastRenderedPageBreak/>
        <w:t>Visão de Classes Participantes (VCP)</w:t>
      </w:r>
      <w:bookmarkEnd w:id="18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431120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UC1 - Autenticar-se no sistema" style="position:absolute;margin-left:102.25pt;margin-top:42.5pt;width:270.75pt;height:159.5pt;z-index:251664384;mso-wrap-edited:f;mso-width-percent:0;mso-height-percent:0;mso-position-horizontal-relative:margin;mso-position-vertical-relative:margin;mso-width-percent:0;mso-height-percent:0">
            <v:imagedata r:id="rId13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33CB4B6D" w14:textId="101289FB" w:rsidR="00A7225F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BFD53" wp14:editId="45F2D642">
            <wp:extent cx="3435607" cy="1828800"/>
            <wp:effectExtent l="0" t="0" r="0" b="0"/>
            <wp:docPr id="9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63" cy="18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2C8" w14:textId="77777777" w:rsidR="00C13968" w:rsidRDefault="00C1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95F4E" w14:textId="525B931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4867A6F8" w:rsidR="000B3C49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9B7C25" wp14:editId="493A3F06">
            <wp:extent cx="3556000" cy="2104406"/>
            <wp:effectExtent l="0" t="0" r="6350" b="0"/>
            <wp:docPr id="10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0E83A940" w:rsidR="007F5C02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CA64B" wp14:editId="476C22B8">
            <wp:extent cx="3624539" cy="2749550"/>
            <wp:effectExtent l="0" t="0" r="0" b="0"/>
            <wp:docPr id="11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9" cy="27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24623C70" w14:textId="1DDEFA2C" w:rsidR="005D0909" w:rsidRPr="002B43CD" w:rsidRDefault="00C13968" w:rsidP="00C1396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376E5FE" wp14:editId="29721F02">
            <wp:extent cx="3905250" cy="2053520"/>
            <wp:effectExtent l="0" t="0" r="0" b="4445"/>
            <wp:docPr id="12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15" cy="20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2CC5" w14:textId="77777777" w:rsidR="00C13968" w:rsidRDefault="00C139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0E301B9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3085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35AB8" w14:textId="77777777" w:rsidR="00431120" w:rsidRDefault="00431120">
      <w:r>
        <w:separator/>
      </w:r>
    </w:p>
  </w:endnote>
  <w:endnote w:type="continuationSeparator" w:id="0">
    <w:p w14:paraId="125F327C" w14:textId="77777777" w:rsidR="00431120" w:rsidRDefault="0043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7B47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67B47">
            <w:rPr>
              <w:noProof/>
            </w:rPr>
            <w:t>14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96A8A" w14:textId="77777777" w:rsidR="00431120" w:rsidRDefault="00431120">
      <w:r>
        <w:separator/>
      </w:r>
    </w:p>
  </w:footnote>
  <w:footnote w:type="continuationSeparator" w:id="0">
    <w:p w14:paraId="67780DFB" w14:textId="77777777" w:rsidR="00431120" w:rsidRDefault="00431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780D3E9F" w:rsidR="007F5C02" w:rsidRDefault="00CB38B1" w:rsidP="00475C6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475C6C">
            <w:t>8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7D32FE40" w:rsidR="007F5C02" w:rsidRDefault="00CB38B1" w:rsidP="00475C6C">
          <w:r>
            <w:t xml:space="preserve">  Date: </w:t>
          </w:r>
          <w:r w:rsidR="00475C6C">
            <w:t>06</w:t>
          </w:r>
          <w:r>
            <w:t>/</w:t>
          </w:r>
          <w:r w:rsidR="0057034E">
            <w:t>0</w:t>
          </w:r>
          <w:r w:rsidR="00475C6C">
            <w:t>7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378C0"/>
    <w:rsid w:val="00051D38"/>
    <w:rsid w:val="00090112"/>
    <w:rsid w:val="00092EC6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31120"/>
    <w:rsid w:val="004613B0"/>
    <w:rsid w:val="00475C6C"/>
    <w:rsid w:val="004B4D1B"/>
    <w:rsid w:val="00530D0D"/>
    <w:rsid w:val="0057034E"/>
    <w:rsid w:val="005C5928"/>
    <w:rsid w:val="005D0909"/>
    <w:rsid w:val="005E6A2B"/>
    <w:rsid w:val="00625810"/>
    <w:rsid w:val="00630D73"/>
    <w:rsid w:val="00676045"/>
    <w:rsid w:val="006922BF"/>
    <w:rsid w:val="006D243C"/>
    <w:rsid w:val="00713425"/>
    <w:rsid w:val="0072410A"/>
    <w:rsid w:val="0077783D"/>
    <w:rsid w:val="007F5C02"/>
    <w:rsid w:val="008B30C1"/>
    <w:rsid w:val="008C35AC"/>
    <w:rsid w:val="00923589"/>
    <w:rsid w:val="009630F7"/>
    <w:rsid w:val="00A11CA9"/>
    <w:rsid w:val="00A7225F"/>
    <w:rsid w:val="00A76898"/>
    <w:rsid w:val="00B0325F"/>
    <w:rsid w:val="00B04141"/>
    <w:rsid w:val="00B40C4B"/>
    <w:rsid w:val="00BD3892"/>
    <w:rsid w:val="00BF5F41"/>
    <w:rsid w:val="00C07A47"/>
    <w:rsid w:val="00C13968"/>
    <w:rsid w:val="00C4078B"/>
    <w:rsid w:val="00CB38B1"/>
    <w:rsid w:val="00CD2EEF"/>
    <w:rsid w:val="00D05352"/>
    <w:rsid w:val="00D255BB"/>
    <w:rsid w:val="00D4641A"/>
    <w:rsid w:val="00D623DB"/>
    <w:rsid w:val="00D67B47"/>
    <w:rsid w:val="00DE02A9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37</cp:revision>
  <cp:lastPrinted>2022-07-06T23:35:00Z</cp:lastPrinted>
  <dcterms:created xsi:type="dcterms:W3CDTF">2022-05-19T02:41:00Z</dcterms:created>
  <dcterms:modified xsi:type="dcterms:W3CDTF">2022-07-06T23:35:00Z</dcterms:modified>
</cp:coreProperties>
</file>