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i w:val="0"/>
          <w:color w:val="2E74B5"/>
          <w:sz w:val="20"/>
        </w:rPr>
        <w:t>INFORME DE ANÁLISIS</w:t>
      </w:r>
    </w:p>
    <w:p>
      <w:pPr>
        <w:spacing w:after="160"/>
      </w:pPr>
      <w:r>
        <w:rPr>
          <w:rFonts w:ascii="Arial" w:hAnsi="Arial"/>
          <w:b/>
          <w:i w:val="0"/>
          <w:color w:val="1F1F1F"/>
          <w:sz w:val="42"/>
        </w:rPr>
        <w:t>Criterios Beers con datos obligatorios pendientes asociados a enfermedad crónica</w:t>
      </w:r>
    </w:p>
    <w:p>
      <w:pPr>
        <w:spacing w:after="280"/>
      </w:pPr>
      <w:r>
        <w:rPr>
          <w:rFonts w:ascii="Arial" w:hAnsi="Arial"/>
          <w:b w:val="0"/>
          <w:i/>
          <w:color w:val="555555"/>
          <w:sz w:val="22"/>
        </w:rPr>
        <w:t>Alcance: identificación, ubicación y plan de acción. No se han realizado cambios en la plataforma.</w:t>
      </w:r>
    </w:p>
    <w:tbl>
      <w:tblPr>
        <w:tblW w:type="dxa" w:w="9360"/>
        <w:tblLayout w:type="fixed"/>
        <w:tblLook w:firstColumn="1" w:firstRow="1" w:lastColumn="0" w:lastRow="0" w:noHBand="0" w:noVBand="1" w:val="04A0"/>
        <w:tblInd w:w="120" w:type="dxa"/>
      </w:tblPr>
      <w:tblGrid>
        <w:gridCol w:w="1800"/>
        <w:gridCol w:w="7560"/>
      </w:tblGrid>
      <w:tr>
        <w:tc>
          <w:tcPr>
            <w:tcW w:type="dxa" w:w="1800"/>
            <w:vAlign w:val="center"/>
            <w:tcMar>
              <w:top w:w="80" w:type="dxa"/>
              <w:bottom w:w="80" w:type="dxa"/>
              <w:start w:w="120" w:type="dxa"/>
              <w:end w:w="120" w:type="dxa"/>
            </w:tcMar>
            <w:shd w:fill="F2F4F7"/>
          </w:tcPr>
          <w:p>
            <w:pPr>
              <w:spacing w:after="0" w:line="252" w:lineRule="auto"/>
            </w:pPr>
            <w:r/>
            <w:r>
              <w:rPr>
                <w:rFonts w:ascii="Arial" w:hAnsi="Arial"/>
                <w:b/>
                <w:i w:val="0"/>
                <w:color w:val="1F4D78"/>
                <w:sz w:val="19"/>
              </w:rPr>
              <w:t>Fecha</w:t>
            </w:r>
          </w:p>
        </w:tc>
        <w:tc>
          <w:tcPr>
            <w:tcW w:type="dxa" w:w="7560"/>
            <w:vAlign w:val="center"/>
            <w:tcMar>
              <w:top w:w="80" w:type="dxa"/>
              <w:bottom w:w="80" w:type="dxa"/>
              <w:start w:w="120" w:type="dxa"/>
              <w:end w:w="120" w:type="dxa"/>
            </w:tcMar>
          </w:tcPr>
          <w:p>
            <w:pPr>
              <w:spacing w:after="0" w:line="252" w:lineRule="auto"/>
            </w:pPr>
            <w:r/>
            <w:r>
              <w:rPr>
                <w:rFonts w:ascii="Arial" w:hAnsi="Arial"/>
                <w:b w:val="0"/>
                <w:i w:val="0"/>
                <w:color w:val="1F1F1F"/>
                <w:sz w:val="19"/>
              </w:rPr>
              <w:t>13 de agosto de 2026</w:t>
            </w:r>
          </w:p>
        </w:tc>
      </w:tr>
      <w:tr>
        <w:tc>
          <w:tcPr>
            <w:tcW w:type="dxa" w:w="1800"/>
            <w:vAlign w:val="center"/>
            <w:tcMar>
              <w:top w:w="80" w:type="dxa"/>
              <w:bottom w:w="80" w:type="dxa"/>
              <w:start w:w="120" w:type="dxa"/>
              <w:end w:w="120" w:type="dxa"/>
            </w:tcMar>
            <w:shd w:fill="F2F4F7"/>
          </w:tcPr>
          <w:p>
            <w:pPr>
              <w:spacing w:after="0" w:line="252" w:lineRule="auto"/>
            </w:pPr>
            <w:r/>
            <w:r>
              <w:rPr>
                <w:rFonts w:ascii="Arial" w:hAnsi="Arial"/>
                <w:b/>
                <w:i w:val="0"/>
                <w:color w:val="1F4D78"/>
                <w:sz w:val="19"/>
              </w:rPr>
              <w:t>Entorno evaluado</w:t>
            </w:r>
          </w:p>
        </w:tc>
        <w:tc>
          <w:tcPr>
            <w:tcW w:type="dxa" w:w="7560"/>
            <w:vAlign w:val="center"/>
            <w:tcMar>
              <w:top w:w="80" w:type="dxa"/>
              <w:bottom w:w="80" w:type="dxa"/>
              <w:start w:w="120" w:type="dxa"/>
              <w:end w:w="120" w:type="dxa"/>
            </w:tcMar>
          </w:tcPr>
          <w:p>
            <w:pPr>
              <w:spacing w:after="0" w:line="252" w:lineRule="auto"/>
            </w:pPr>
            <w:r/>
            <w:r>
              <w:rPr>
                <w:rFonts w:ascii="Arial" w:hAnsi="Arial"/>
                <w:b w:val="0"/>
                <w:i w:val="0"/>
                <w:color w:val="1F1F1F"/>
                <w:sz w:val="19"/>
              </w:rPr>
              <w:t>SIGRAM-AM DEV (127.0.0.1:8089)</w:t>
            </w:r>
          </w:p>
        </w:tc>
      </w:tr>
      <w:tr>
        <w:tc>
          <w:tcPr>
            <w:tcW w:type="dxa" w:w="1800"/>
            <w:vAlign w:val="center"/>
            <w:tcMar>
              <w:top w:w="80" w:type="dxa"/>
              <w:bottom w:w="80" w:type="dxa"/>
              <w:start w:w="120" w:type="dxa"/>
              <w:end w:w="120" w:type="dxa"/>
            </w:tcMar>
            <w:shd w:fill="F2F4F7"/>
          </w:tcPr>
          <w:p>
            <w:pPr>
              <w:spacing w:after="0" w:line="252" w:lineRule="auto"/>
            </w:pPr>
            <w:r/>
            <w:r>
              <w:rPr>
                <w:rFonts w:ascii="Arial" w:hAnsi="Arial"/>
                <w:b/>
                <w:i w:val="0"/>
                <w:color w:val="1F4D78"/>
                <w:sz w:val="19"/>
              </w:rPr>
              <w:t>Fuente</w:t>
            </w:r>
          </w:p>
        </w:tc>
        <w:tc>
          <w:tcPr>
            <w:tcW w:type="dxa" w:w="7560"/>
            <w:vAlign w:val="center"/>
            <w:tcMar>
              <w:top w:w="80" w:type="dxa"/>
              <w:bottom w:w="80" w:type="dxa"/>
              <w:start w:w="120" w:type="dxa"/>
              <w:end w:w="120" w:type="dxa"/>
            </w:tcMar>
          </w:tcPr>
          <w:p>
            <w:pPr>
              <w:spacing w:after="0" w:line="252" w:lineRule="auto"/>
            </w:pPr>
            <w:r/>
            <w:r>
              <w:rPr>
                <w:rFonts w:ascii="Arial" w:hAnsi="Arial"/>
                <w:b w:val="0"/>
                <w:i w:val="0"/>
                <w:color w:val="1F1F1F"/>
                <w:sz w:val="19"/>
              </w:rPr>
              <w:t>Muestra pseudonimizada del piloto; año de observación 2025</w:t>
            </w:r>
          </w:p>
        </w:tc>
      </w:tr>
    </w:tbl>
    <w:p>
      <w:pPr>
        <w:spacing w:before="240" w:after="120"/>
      </w:pPr>
      <w:r>
        <w:rPr>
          <w:rFonts w:ascii="Arial" w:hAnsi="Arial"/>
          <w:b/>
          <w:i w:val="0"/>
          <w:color w:val="2E74B5"/>
          <w:sz w:val="32"/>
        </w:rPr>
        <w:t>1. Conclusión ejecutiva</w:t>
      </w:r>
    </w:p>
    <w:p>
      <w:pPr>
        <w:spacing w:after="120" w:line="264" w:lineRule="auto"/>
      </w:pPr>
      <w:r>
        <w:rPr>
          <w:rFonts w:ascii="Arial" w:hAnsi="Arial"/>
          <w:b w:val="0"/>
          <w:i w:val="0"/>
          <w:color w:val="1F1F1F"/>
          <w:sz w:val="22"/>
        </w:rPr>
        <w:t>La revisión identificó 25 resultados Beers con información faltante en los 10 pacientes del piloto. Solo un criterio pendiente corresponde directamente a una condición habitualmente crónica: B13 (demencia o deterioro cognitivo).</w:t>
      </w:r>
    </w:p>
    <w:p>
      <w:pPr>
        <w:spacing w:after="120" w:line="264" w:lineRule="auto"/>
      </w:pPr>
      <w:r>
        <w:rPr>
          <w:rFonts w:ascii="Arial" w:hAnsi="Arial"/>
          <w:b w:val="0"/>
          <w:i w:val="0"/>
          <w:color w:val="1F1F1F"/>
          <w:sz w:val="22"/>
        </w:rPr>
        <w:t>B13 aparece en tres pacientes y no existen códigos CIE-10 de demencia/deterioro cognitivo en la fuente evaluada. B06 (insuficiencia cardiaca crónica) ya cuenta con una regla especial: cuando no existe evidencia positiva de insuficiencia cardiaca, SIGRAM lo clasifica como no aplicable y no como dato faltante.</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FF8E8"/>
          </w:tcPr>
          <w:p>
            <w:pPr>
              <w:spacing w:after="0" w:line="264" w:lineRule="auto"/>
            </w:pPr>
            <w:r>
              <w:rPr>
                <w:rFonts w:ascii="Arial" w:hAnsi="Arial"/>
                <w:b/>
                <w:i w:val="0"/>
                <w:color w:val="7A5A00"/>
                <w:sz w:val="22"/>
              </w:rPr>
              <w:t xml:space="preserve">Decisión propuesta para validar con el Dr. Armando: </w:t>
            </w:r>
            <w:r>
              <w:rPr>
                <w:rFonts w:ascii="Arial" w:hAnsi="Arial"/>
                <w:b w:val="0"/>
                <w:i w:val="0"/>
                <w:color w:val="1F1F1F"/>
                <w:sz w:val="22"/>
              </w:rPr>
              <w:t>si ESSI aportará la historia diagnóstica longitudinal completa hasta 2025, B13 debe dejar de mostrarse como “Faltan datos obligatorios” cuando no exista evidencia documentada de demencia o deterioro cognitivo. Debe mostrarse como “No aplicable en la fuente histórica”, conservando trazabilidad.</w:t>
            </w:r>
          </w:p>
        </w:tc>
      </w:tr>
    </w:tbl>
    <w:p>
      <w:pPr>
        <w:spacing w:after="20"/>
      </w:pPr>
    </w:p>
    <w:p>
      <w:pPr>
        <w:spacing w:before="240" w:after="120"/>
      </w:pPr>
      <w:r>
        <w:rPr>
          <w:rFonts w:ascii="Arial" w:hAnsi="Arial"/>
          <w:b/>
          <w:i w:val="0"/>
          <w:color w:val="2E74B5"/>
          <w:sz w:val="32"/>
        </w:rPr>
        <w:t>2. Criterios asociados a enfermedad crónica</w:t>
      </w:r>
    </w:p>
    <w:tbl>
      <w:tblPr>
        <w:tblW w:type="dxa" w:w="9360"/>
        <w:tblLayout w:type="fixed"/>
        <w:tblLook w:firstColumn="1" w:firstRow="1" w:lastColumn="0" w:lastRow="0" w:noHBand="0" w:noVBand="1" w:val="04A0"/>
        <w:tblInd w:w="120" w:type="dxa"/>
      </w:tblPr>
      <w:tblGrid>
        <w:gridCol w:w="900"/>
        <w:gridCol w:w="2100"/>
        <w:gridCol w:w="2100"/>
        <w:gridCol w:w="4260"/>
      </w:tblGrid>
      <w:tr>
        <w:tc>
          <w:tcPr>
            <w:tcW w:type="dxa" w:w="900"/>
            <w:vAlign w:val="center"/>
            <w:tcMar>
              <w:top w:w="80" w:type="dxa"/>
              <w:bottom w:w="80" w:type="dxa"/>
              <w:start w:w="120" w:type="dxa"/>
              <w:end w:w="120" w:type="dxa"/>
            </w:tcMar>
            <w:shd w:fill="E8EEF5"/>
          </w:tcPr>
          <w:p>
            <w:pPr>
              <w:spacing w:after="0" w:line="252" w:lineRule="auto"/>
            </w:pPr>
            <w:r/>
            <w:r>
              <w:rPr>
                <w:rFonts w:ascii="Arial" w:hAnsi="Arial"/>
                <w:b/>
                <w:i w:val="0"/>
                <w:color w:val="1F4D78"/>
                <w:sz w:val="19"/>
              </w:rPr>
              <w:t>Código</w:t>
            </w:r>
          </w:p>
        </w:tc>
        <w:tc>
          <w:tcPr>
            <w:tcW w:type="dxa" w:w="2100"/>
            <w:vAlign w:val="center"/>
            <w:tcMar>
              <w:top w:w="80" w:type="dxa"/>
              <w:bottom w:w="80" w:type="dxa"/>
              <w:start w:w="120" w:type="dxa"/>
              <w:end w:w="120" w:type="dxa"/>
            </w:tcMar>
            <w:shd w:fill="E8EEF5"/>
          </w:tcPr>
          <w:p>
            <w:pPr>
              <w:spacing w:after="0" w:line="252" w:lineRule="auto"/>
            </w:pPr>
            <w:r/>
            <w:r>
              <w:rPr>
                <w:rFonts w:ascii="Arial" w:hAnsi="Arial"/>
                <w:b/>
                <w:i w:val="0"/>
                <w:color w:val="1F4D78"/>
                <w:sz w:val="19"/>
              </w:rPr>
              <w:t>Condición</w:t>
            </w:r>
          </w:p>
        </w:tc>
        <w:tc>
          <w:tcPr>
            <w:tcW w:type="dxa" w:w="2100"/>
            <w:vAlign w:val="center"/>
            <w:tcMar>
              <w:top w:w="80" w:type="dxa"/>
              <w:bottom w:w="80" w:type="dxa"/>
              <w:start w:w="120" w:type="dxa"/>
              <w:end w:w="120" w:type="dxa"/>
            </w:tcMar>
            <w:shd w:fill="E8EEF5"/>
          </w:tcPr>
          <w:p>
            <w:pPr>
              <w:spacing w:after="0" w:line="252" w:lineRule="auto"/>
            </w:pPr>
            <w:r/>
            <w:r>
              <w:rPr>
                <w:rFonts w:ascii="Arial" w:hAnsi="Arial"/>
                <w:b/>
                <w:i w:val="0"/>
                <w:color w:val="1F4D78"/>
                <w:sz w:val="19"/>
              </w:rPr>
              <w:t>Situación actual</w:t>
            </w:r>
          </w:p>
        </w:tc>
        <w:tc>
          <w:tcPr>
            <w:tcW w:type="dxa" w:w="4260"/>
            <w:vAlign w:val="center"/>
            <w:tcMar>
              <w:top w:w="80" w:type="dxa"/>
              <w:bottom w:w="80" w:type="dxa"/>
              <w:start w:w="120" w:type="dxa"/>
              <w:end w:w="120" w:type="dxa"/>
            </w:tcMar>
            <w:shd w:fill="E8EEF5"/>
          </w:tcPr>
          <w:p>
            <w:pPr>
              <w:spacing w:after="0" w:line="252" w:lineRule="auto"/>
            </w:pPr>
            <w:r/>
            <w:r>
              <w:rPr>
                <w:rFonts w:ascii="Arial" w:hAnsi="Arial"/>
                <w:b/>
                <w:i w:val="0"/>
                <w:color w:val="1F4D78"/>
                <w:sz w:val="19"/>
              </w:rPr>
              <w:t>Acción propuesta</w:t>
            </w:r>
          </w:p>
        </w:tc>
      </w:tr>
      <w:tr>
        <w:tc>
          <w:tcPr>
            <w:tcW w:type="dxa" w:w="900"/>
          </w:tcPr>
          <w:p>
            <w:pPr>
              <w:spacing w:after="0" w:line="252" w:lineRule="auto"/>
            </w:pPr>
            <w:r/>
            <w:r>
              <w:rPr>
                <w:rFonts w:ascii="Arial" w:hAnsi="Arial"/>
                <w:b w:val="0"/>
                <w:i w:val="0"/>
                <w:color w:val="1F1F1F"/>
                <w:sz w:val="19"/>
              </w:rPr>
              <w:t>B06</w:t>
            </w:r>
          </w:p>
        </w:tc>
        <w:tc>
          <w:tcPr>
            <w:tcW w:type="dxa" w:w="2100"/>
          </w:tcPr>
          <w:p>
            <w:pPr>
              <w:spacing w:after="0" w:line="252" w:lineRule="auto"/>
            </w:pPr>
            <w:r/>
            <w:r>
              <w:rPr>
                <w:rFonts w:ascii="Arial" w:hAnsi="Arial"/>
                <w:b w:val="0"/>
                <w:i w:val="0"/>
                <w:color w:val="1F1F1F"/>
                <w:sz w:val="19"/>
              </w:rPr>
              <w:t>Insuficiencia cardiaca</w:t>
            </w:r>
          </w:p>
        </w:tc>
        <w:tc>
          <w:tcPr>
            <w:tcW w:type="dxa" w:w="2100"/>
          </w:tcPr>
          <w:p>
            <w:pPr>
              <w:spacing w:after="0" w:line="252" w:lineRule="auto"/>
            </w:pPr>
            <w:r/>
            <w:r>
              <w:rPr>
                <w:rFonts w:ascii="Arial" w:hAnsi="Arial"/>
                <w:b w:val="0"/>
                <w:i w:val="0"/>
                <w:color w:val="1F1F1F"/>
                <w:sz w:val="19"/>
              </w:rPr>
              <w:t>No hay pendientes por enfermedad ausente. En 3 candidatos sin I50, ya figura como no aplicable.</w:t>
            </w:r>
          </w:p>
        </w:tc>
        <w:tc>
          <w:tcPr>
            <w:tcW w:type="dxa" w:w="4260"/>
          </w:tcPr>
          <w:p>
            <w:pPr>
              <w:spacing w:after="0" w:line="252" w:lineRule="auto"/>
            </w:pPr>
            <w:r/>
            <w:r>
              <w:rPr>
                <w:rFonts w:ascii="Arial" w:hAnsi="Arial"/>
                <w:b w:val="0"/>
                <w:i w:val="0"/>
                <w:color w:val="1F1F1F"/>
                <w:sz w:val="19"/>
              </w:rPr>
              <w:t>Mantener la lógica actual. Solo solicitar estado sintomático si I50 está documentado.</w:t>
            </w:r>
          </w:p>
        </w:tc>
      </w:tr>
      <w:tr>
        <w:tc>
          <w:tcPr>
            <w:tcW w:type="dxa" w:w="900"/>
          </w:tcPr>
          <w:p>
            <w:pPr>
              <w:spacing w:after="0" w:line="252" w:lineRule="auto"/>
            </w:pPr>
            <w:r/>
            <w:r>
              <w:rPr>
                <w:rFonts w:ascii="Arial" w:hAnsi="Arial"/>
                <w:b w:val="0"/>
                <w:i w:val="0"/>
                <w:color w:val="1F1F1F"/>
                <w:sz w:val="19"/>
              </w:rPr>
              <w:t>B13</w:t>
            </w:r>
          </w:p>
        </w:tc>
        <w:tc>
          <w:tcPr>
            <w:tcW w:type="dxa" w:w="2100"/>
          </w:tcPr>
          <w:p>
            <w:pPr>
              <w:spacing w:after="0" w:line="252" w:lineRule="auto"/>
            </w:pPr>
            <w:r/>
            <w:r>
              <w:rPr>
                <w:rFonts w:ascii="Arial" w:hAnsi="Arial"/>
                <w:b w:val="0"/>
                <w:i w:val="0"/>
                <w:color w:val="1F1F1F"/>
                <w:sz w:val="19"/>
              </w:rPr>
              <w:t>Demencia o deterioro cognitivo</w:t>
            </w:r>
          </w:p>
        </w:tc>
        <w:tc>
          <w:tcPr>
            <w:tcW w:type="dxa" w:w="2100"/>
          </w:tcPr>
          <w:p>
            <w:pPr>
              <w:spacing w:after="0" w:line="252" w:lineRule="auto"/>
            </w:pPr>
            <w:r/>
            <w:r>
              <w:rPr>
                <w:rFonts w:ascii="Arial" w:hAnsi="Arial"/>
                <w:b w:val="0"/>
                <w:i w:val="0"/>
                <w:color w:val="1F1F1F"/>
                <w:sz w:val="19"/>
              </w:rPr>
              <w:t>3 resultados pendientes porque falta el campo cognitive_impairment.</w:t>
            </w:r>
          </w:p>
        </w:tc>
        <w:tc>
          <w:tcPr>
            <w:tcW w:type="dxa" w:w="4260"/>
          </w:tcPr>
          <w:p>
            <w:pPr>
              <w:spacing w:after="0" w:line="252" w:lineRule="auto"/>
            </w:pPr>
            <w:r/>
            <w:r>
              <w:rPr>
                <w:rFonts w:ascii="Arial" w:hAnsi="Arial"/>
                <w:b w:val="0"/>
                <w:i w:val="0"/>
                <w:color w:val="1F1F1F"/>
                <w:sz w:val="19"/>
              </w:rPr>
              <w:t>Modificar tras validación: ausencia de evidencia longitudinal F00-F03/G30 =&gt; no aplicable, no “dato faltante”.</w:t>
            </w:r>
          </w:p>
        </w:tc>
      </w:tr>
      <w:tr>
        <w:tc>
          <w:tcPr>
            <w:tcW w:type="dxa" w:w="900"/>
          </w:tcPr>
          <w:p>
            <w:pPr>
              <w:spacing w:after="0" w:line="252" w:lineRule="auto"/>
            </w:pPr>
            <w:r/>
            <w:r>
              <w:rPr>
                <w:rFonts w:ascii="Arial" w:hAnsi="Arial"/>
                <w:b w:val="0"/>
                <w:i w:val="0"/>
                <w:color w:val="1F1F1F"/>
                <w:sz w:val="19"/>
              </w:rPr>
              <w:t>B21</w:t>
            </w:r>
          </w:p>
        </w:tc>
        <w:tc>
          <w:tcPr>
            <w:tcW w:type="dxa" w:w="2100"/>
          </w:tcPr>
          <w:p>
            <w:pPr>
              <w:spacing w:after="0" w:line="252" w:lineRule="auto"/>
            </w:pPr>
            <w:r/>
            <w:r>
              <w:rPr>
                <w:rFonts w:ascii="Arial" w:hAnsi="Arial"/>
                <w:b w:val="0"/>
                <w:i w:val="0"/>
                <w:color w:val="1F1F1F"/>
                <w:sz w:val="19"/>
              </w:rPr>
              <w:t>ERC estadio 3a o mayor</w:t>
            </w:r>
          </w:p>
        </w:tc>
        <w:tc>
          <w:tcPr>
            <w:tcW w:type="dxa" w:w="2100"/>
          </w:tcPr>
          <w:p>
            <w:pPr>
              <w:spacing w:after="0" w:line="252" w:lineRule="auto"/>
            </w:pPr>
            <w:r/>
            <w:r>
              <w:rPr>
                <w:rFonts w:ascii="Arial" w:hAnsi="Arial"/>
                <w:b w:val="0"/>
                <w:i w:val="0"/>
                <w:color w:val="1F1F1F"/>
                <w:sz w:val="19"/>
              </w:rPr>
              <w:t>No hay resultados pendientes en el piloto. La condición solo se evalúa si existe combinación farmacológica de riesgo.</w:t>
            </w:r>
          </w:p>
        </w:tc>
        <w:tc>
          <w:tcPr>
            <w:tcW w:type="dxa" w:w="4260"/>
          </w:tcPr>
          <w:p>
            <w:pPr>
              <w:spacing w:after="0" w:line="252" w:lineRule="auto"/>
            </w:pPr>
            <w:r/>
            <w:r>
              <w:rPr>
                <w:rFonts w:ascii="Arial" w:hAnsi="Arial"/>
                <w:b w:val="0"/>
                <w:i w:val="0"/>
                <w:color w:val="1F1F1F"/>
                <w:sz w:val="19"/>
              </w:rPr>
              <w:t>Aplicar la misma política futura únicamente si la historia longitudinal confirma ausencia de N18.3-N18.6.</w:t>
            </w:r>
          </w:p>
        </w:tc>
      </w:tr>
    </w:tbl>
    <w:p>
      <w:pPr>
        <w:spacing w:before="240" w:after="120"/>
      </w:pPr>
      <w:r>
        <w:rPr>
          <w:rFonts w:ascii="Arial" w:hAnsi="Arial"/>
          <w:b/>
          <w:i w:val="0"/>
          <w:color w:val="2E74B5"/>
          <w:sz w:val="32"/>
        </w:rPr>
        <w:t>3. Ubicación de los hallazgos B13</w:t>
      </w:r>
    </w:p>
    <w:p>
      <w:pPr>
        <w:spacing w:after="120" w:line="264" w:lineRule="auto"/>
      </w:pPr>
      <w:r>
        <w:rPr>
          <w:rFonts w:ascii="Arial" w:hAnsi="Arial"/>
          <w:b w:val="0"/>
          <w:i w:val="0"/>
          <w:color w:val="1F1F1F"/>
          <w:sz w:val="22"/>
        </w:rPr>
        <w:t>Los siguientes casos tienen un medicamento candidato para B13 y muestran “Faltan datos obligatorios para completar el criterio” por ausencia de deterioro cognitivo documentado:</w:t>
      </w:r>
    </w:p>
    <w:tbl>
      <w:tblPr>
        <w:tblW w:type="dxa" w:w="9360"/>
        <w:tblLayout w:type="fixed"/>
        <w:tblLook w:firstColumn="1" w:firstRow="1" w:lastColumn="0" w:lastRow="0" w:noHBand="0" w:noVBand="1" w:val="04A0"/>
        <w:tblInd w:w="120" w:type="dxa"/>
      </w:tblPr>
      <w:tblGrid>
        <w:gridCol w:w="3200"/>
        <w:gridCol w:w="700"/>
        <w:gridCol w:w="1600"/>
        <w:gridCol w:w="3860"/>
      </w:tblGrid>
      <w:tr>
        <w:tc>
          <w:tcPr>
            <w:tcW w:type="dxa" w:w="3200"/>
            <w:vAlign w:val="center"/>
            <w:tcMar>
              <w:top w:w="80" w:type="dxa"/>
              <w:bottom w:w="80" w:type="dxa"/>
              <w:start w:w="120" w:type="dxa"/>
              <w:end w:w="120" w:type="dxa"/>
            </w:tcMar>
            <w:shd w:fill="E8EEF5"/>
          </w:tcPr>
          <w:p>
            <w:pPr>
              <w:spacing w:after="0" w:line="252" w:lineRule="auto"/>
            </w:pPr>
            <w:r/>
            <w:r>
              <w:rPr>
                <w:rFonts w:ascii="Arial" w:hAnsi="Arial"/>
                <w:b/>
                <w:i w:val="0"/>
                <w:color w:val="1F4D78"/>
                <w:sz w:val="19"/>
              </w:rPr>
              <w:t>Código del paciente</w:t>
            </w:r>
          </w:p>
        </w:tc>
        <w:tc>
          <w:tcPr>
            <w:tcW w:type="dxa" w:w="700"/>
            <w:vAlign w:val="center"/>
            <w:tcMar>
              <w:top w:w="80" w:type="dxa"/>
              <w:bottom w:w="80" w:type="dxa"/>
              <w:start w:w="120" w:type="dxa"/>
              <w:end w:w="120" w:type="dxa"/>
            </w:tcMar>
            <w:shd w:fill="E8EEF5"/>
          </w:tcPr>
          <w:p>
            <w:pPr>
              <w:spacing w:after="0" w:line="252" w:lineRule="auto"/>
            </w:pPr>
            <w:r/>
            <w:r>
              <w:rPr>
                <w:rFonts w:ascii="Arial" w:hAnsi="Arial"/>
                <w:b/>
                <w:i w:val="0"/>
                <w:color w:val="1F4D78"/>
                <w:sz w:val="19"/>
              </w:rPr>
              <w:t>Edad</w:t>
            </w:r>
          </w:p>
        </w:tc>
        <w:tc>
          <w:tcPr>
            <w:tcW w:type="dxa" w:w="1600"/>
            <w:vAlign w:val="center"/>
            <w:tcMar>
              <w:top w:w="80" w:type="dxa"/>
              <w:bottom w:w="80" w:type="dxa"/>
              <w:start w:w="120" w:type="dxa"/>
              <w:end w:w="120" w:type="dxa"/>
            </w:tcMar>
            <w:shd w:fill="E8EEF5"/>
          </w:tcPr>
          <w:p>
            <w:pPr>
              <w:spacing w:after="0" w:line="252" w:lineRule="auto"/>
            </w:pPr>
            <w:r/>
            <w:r>
              <w:rPr>
                <w:rFonts w:ascii="Arial" w:hAnsi="Arial"/>
                <w:b/>
                <w:i w:val="0"/>
                <w:color w:val="1F4D78"/>
                <w:sz w:val="19"/>
              </w:rPr>
              <w:t>Dato faltante</w:t>
            </w:r>
          </w:p>
        </w:tc>
        <w:tc>
          <w:tcPr>
            <w:tcW w:type="dxa" w:w="3860"/>
            <w:vAlign w:val="center"/>
            <w:tcMar>
              <w:top w:w="80" w:type="dxa"/>
              <w:bottom w:w="80" w:type="dxa"/>
              <w:start w:w="120" w:type="dxa"/>
              <w:end w:w="120" w:type="dxa"/>
            </w:tcMar>
            <w:shd w:fill="E8EEF5"/>
          </w:tcPr>
          <w:p>
            <w:pPr>
              <w:spacing w:after="0" w:line="252" w:lineRule="auto"/>
            </w:pPr>
            <w:r/>
            <w:r>
              <w:rPr>
                <w:rFonts w:ascii="Arial" w:hAnsi="Arial"/>
                <w:b/>
                <w:i w:val="0"/>
                <w:color w:val="1F4D78"/>
                <w:sz w:val="19"/>
              </w:rPr>
              <w:t>Evidencia diagnóstica revisada</w:t>
            </w:r>
          </w:p>
        </w:tc>
      </w:tr>
      <w:tr>
        <w:tc>
          <w:tcPr>
            <w:tcW w:type="dxa" w:w="3200"/>
          </w:tcPr>
          <w:p>
            <w:pPr>
              <w:spacing w:after="0" w:line="252" w:lineRule="auto"/>
            </w:pPr>
            <w:r/>
            <w:r>
              <w:rPr>
                <w:rFonts w:ascii="Arial" w:hAnsi="Arial"/>
                <w:b w:val="0"/>
                <w:i w:val="0"/>
                <w:color w:val="1F1F1F"/>
                <w:sz w:val="19"/>
              </w:rPr>
              <w:t>PILOT-1872EFE2594F6E73</w:t>
            </w:r>
          </w:p>
        </w:tc>
        <w:tc>
          <w:tcPr>
            <w:tcW w:type="dxa" w:w="700"/>
          </w:tcPr>
          <w:p>
            <w:pPr>
              <w:spacing w:after="0" w:line="252" w:lineRule="auto"/>
            </w:pPr>
            <w:r/>
            <w:r>
              <w:rPr>
                <w:rFonts w:ascii="Arial" w:hAnsi="Arial"/>
                <w:b w:val="0"/>
                <w:i w:val="0"/>
                <w:color w:val="1F1F1F"/>
                <w:sz w:val="19"/>
              </w:rPr>
              <w:t>75</w:t>
            </w:r>
          </w:p>
        </w:tc>
        <w:tc>
          <w:tcPr>
            <w:tcW w:type="dxa" w:w="1600"/>
          </w:tcPr>
          <w:p>
            <w:pPr>
              <w:spacing w:after="0" w:line="252" w:lineRule="auto"/>
            </w:pPr>
            <w:r/>
            <w:r>
              <w:rPr>
                <w:rFonts w:ascii="Arial" w:hAnsi="Arial"/>
                <w:b w:val="0"/>
                <w:i w:val="0"/>
                <w:color w:val="1F1F1F"/>
                <w:sz w:val="19"/>
              </w:rPr>
              <w:t>B13: deterioro cognitivo</w:t>
            </w:r>
          </w:p>
        </w:tc>
        <w:tc>
          <w:tcPr>
            <w:tcW w:type="dxa" w:w="3860"/>
          </w:tcPr>
          <w:p>
            <w:pPr>
              <w:spacing w:after="0" w:line="252" w:lineRule="auto"/>
            </w:pPr>
            <w:r/>
            <w:r>
              <w:rPr>
                <w:rFonts w:ascii="Arial" w:hAnsi="Arial"/>
                <w:b w:val="0"/>
                <w:i w:val="0"/>
                <w:color w:val="1F1F1F"/>
                <w:sz w:val="19"/>
              </w:rPr>
              <w:t>Sin F00-F03 ni G30 en los diagnósticos analizados.</w:t>
            </w:r>
          </w:p>
        </w:tc>
      </w:tr>
      <w:tr>
        <w:tc>
          <w:tcPr>
            <w:tcW w:type="dxa" w:w="3200"/>
          </w:tcPr>
          <w:p>
            <w:pPr>
              <w:spacing w:after="0" w:line="252" w:lineRule="auto"/>
            </w:pPr>
            <w:r/>
            <w:r>
              <w:rPr>
                <w:rFonts w:ascii="Arial" w:hAnsi="Arial"/>
                <w:b w:val="0"/>
                <w:i w:val="0"/>
                <w:color w:val="1F1F1F"/>
                <w:sz w:val="19"/>
              </w:rPr>
              <w:t>PILOT-96CBA7BBFA883815</w:t>
            </w:r>
          </w:p>
        </w:tc>
        <w:tc>
          <w:tcPr>
            <w:tcW w:type="dxa" w:w="700"/>
          </w:tcPr>
          <w:p>
            <w:pPr>
              <w:spacing w:after="0" w:line="252" w:lineRule="auto"/>
            </w:pPr>
            <w:r/>
            <w:r>
              <w:rPr>
                <w:rFonts w:ascii="Arial" w:hAnsi="Arial"/>
                <w:b w:val="0"/>
                <w:i w:val="0"/>
                <w:color w:val="1F1F1F"/>
                <w:sz w:val="19"/>
              </w:rPr>
              <w:t>78</w:t>
            </w:r>
          </w:p>
        </w:tc>
        <w:tc>
          <w:tcPr>
            <w:tcW w:type="dxa" w:w="1600"/>
          </w:tcPr>
          <w:p>
            <w:pPr>
              <w:spacing w:after="0" w:line="252" w:lineRule="auto"/>
            </w:pPr>
            <w:r/>
            <w:r>
              <w:rPr>
                <w:rFonts w:ascii="Arial" w:hAnsi="Arial"/>
                <w:b w:val="0"/>
                <w:i w:val="0"/>
                <w:color w:val="1F1F1F"/>
                <w:sz w:val="19"/>
              </w:rPr>
              <w:t>B13: deterioro cognitivo</w:t>
            </w:r>
          </w:p>
        </w:tc>
        <w:tc>
          <w:tcPr>
            <w:tcW w:type="dxa" w:w="3860"/>
          </w:tcPr>
          <w:p>
            <w:pPr>
              <w:spacing w:after="0" w:line="252" w:lineRule="auto"/>
            </w:pPr>
            <w:r/>
            <w:r>
              <w:rPr>
                <w:rFonts w:ascii="Arial" w:hAnsi="Arial"/>
                <w:b w:val="0"/>
                <w:i w:val="0"/>
                <w:color w:val="1F1F1F"/>
                <w:sz w:val="19"/>
              </w:rPr>
              <w:t>Sin F00-F03 ni G30 en los diagnósticos analizados.</w:t>
            </w:r>
          </w:p>
        </w:tc>
      </w:tr>
      <w:tr>
        <w:tc>
          <w:tcPr>
            <w:tcW w:type="dxa" w:w="3200"/>
          </w:tcPr>
          <w:p>
            <w:pPr>
              <w:spacing w:after="0" w:line="252" w:lineRule="auto"/>
            </w:pPr>
            <w:r/>
            <w:r>
              <w:rPr>
                <w:rFonts w:ascii="Arial" w:hAnsi="Arial"/>
                <w:b w:val="0"/>
                <w:i w:val="0"/>
                <w:color w:val="1F1F1F"/>
                <w:sz w:val="19"/>
              </w:rPr>
              <w:t>PILOT-DD2F182D154BA6CF</w:t>
            </w:r>
          </w:p>
        </w:tc>
        <w:tc>
          <w:tcPr>
            <w:tcW w:type="dxa" w:w="700"/>
          </w:tcPr>
          <w:p>
            <w:pPr>
              <w:spacing w:after="0" w:line="252" w:lineRule="auto"/>
            </w:pPr>
            <w:r/>
            <w:r>
              <w:rPr>
                <w:rFonts w:ascii="Arial" w:hAnsi="Arial"/>
                <w:b w:val="0"/>
                <w:i w:val="0"/>
                <w:color w:val="1F1F1F"/>
                <w:sz w:val="19"/>
              </w:rPr>
              <w:t>68</w:t>
            </w:r>
          </w:p>
        </w:tc>
        <w:tc>
          <w:tcPr>
            <w:tcW w:type="dxa" w:w="1600"/>
          </w:tcPr>
          <w:p>
            <w:pPr>
              <w:spacing w:after="0" w:line="252" w:lineRule="auto"/>
            </w:pPr>
            <w:r/>
            <w:r>
              <w:rPr>
                <w:rFonts w:ascii="Arial" w:hAnsi="Arial"/>
                <w:b w:val="0"/>
                <w:i w:val="0"/>
                <w:color w:val="1F1F1F"/>
                <w:sz w:val="19"/>
              </w:rPr>
              <w:t>B13: deterioro cognitivo</w:t>
            </w:r>
          </w:p>
        </w:tc>
        <w:tc>
          <w:tcPr>
            <w:tcW w:type="dxa" w:w="3860"/>
          </w:tcPr>
          <w:p>
            <w:pPr>
              <w:spacing w:after="0" w:line="252" w:lineRule="auto"/>
            </w:pPr>
            <w:r/>
            <w:r>
              <w:rPr>
                <w:rFonts w:ascii="Arial" w:hAnsi="Arial"/>
                <w:b w:val="0"/>
                <w:i w:val="0"/>
                <w:color w:val="1F1F1F"/>
                <w:sz w:val="19"/>
              </w:rPr>
              <w:t>Sin F00-F03 ni G30 en los diagnósticos analizados.</w:t>
            </w:r>
          </w:p>
        </w:tc>
      </w:tr>
    </w:tbl>
    <w:p>
      <w:pPr>
        <w:spacing w:before="240" w:after="120"/>
      </w:pPr>
      <w:r>
        <w:rPr>
          <w:rFonts w:ascii="Arial" w:hAnsi="Arial"/>
          <w:b/>
          <w:i w:val="0"/>
          <w:color w:val="2E74B5"/>
          <w:sz w:val="32"/>
        </w:rPr>
        <w:t>4. Criterios pendientes que no deben eliminarse por esta razón</w:t>
      </w:r>
    </w:p>
    <w:p>
      <w:pPr>
        <w:spacing w:after="120" w:line="264" w:lineRule="auto"/>
      </w:pPr>
      <w:r>
        <w:rPr>
          <w:rFonts w:ascii="Arial" w:hAnsi="Arial"/>
          <w:b w:val="0"/>
          <w:i w:val="0"/>
          <w:color w:val="1F1F1F"/>
          <w:sz w:val="22"/>
        </w:rPr>
        <w:t>Los demás resultados con datos faltantes no representan una enfermedad crónica ausente y, por ello, no deben ocultarse con la regla propuesta:</w:t>
      </w:r>
    </w:p>
    <w:tbl>
      <w:tblPr>
        <w:tblW w:type="dxa" w:w="9360"/>
        <w:tblLayout w:type="fixed"/>
        <w:tblLook w:firstColumn="1" w:firstRow="1" w:lastColumn="0" w:lastRow="0" w:noHBand="0" w:noVBand="1" w:val="04A0"/>
        <w:tblInd w:w="120" w:type="dxa"/>
      </w:tblPr>
      <w:tblGrid>
        <w:gridCol w:w="1050"/>
        <w:gridCol w:w="3000"/>
        <w:gridCol w:w="5310"/>
      </w:tblGrid>
      <w:tr>
        <w:tc>
          <w:tcPr>
            <w:tcW w:type="dxa" w:w="1050"/>
            <w:vAlign w:val="center"/>
            <w:tcMar>
              <w:top w:w="80" w:type="dxa"/>
              <w:bottom w:w="80" w:type="dxa"/>
              <w:start w:w="120" w:type="dxa"/>
              <w:end w:w="120" w:type="dxa"/>
            </w:tcMar>
            <w:shd w:fill="F2F4F7"/>
          </w:tcPr>
          <w:p>
            <w:pPr>
              <w:spacing w:after="0" w:line="252" w:lineRule="auto"/>
            </w:pPr>
            <w:r/>
            <w:r>
              <w:rPr>
                <w:rFonts w:ascii="Arial" w:hAnsi="Arial"/>
                <w:b/>
                <w:i w:val="0"/>
                <w:color w:val="1F4D78"/>
                <w:sz w:val="19"/>
              </w:rPr>
              <w:t>Criterios</w:t>
            </w:r>
          </w:p>
        </w:tc>
        <w:tc>
          <w:tcPr>
            <w:tcW w:type="dxa" w:w="3000"/>
            <w:vAlign w:val="center"/>
            <w:tcMar>
              <w:top w:w="80" w:type="dxa"/>
              <w:bottom w:w="80" w:type="dxa"/>
              <w:start w:w="120" w:type="dxa"/>
              <w:end w:w="120" w:type="dxa"/>
            </w:tcMar>
            <w:shd w:fill="F2F4F7"/>
          </w:tcPr>
          <w:p>
            <w:pPr>
              <w:spacing w:after="0" w:line="252" w:lineRule="auto"/>
            </w:pPr>
            <w:r/>
            <w:r>
              <w:rPr>
                <w:rFonts w:ascii="Arial" w:hAnsi="Arial"/>
                <w:b/>
                <w:i w:val="0"/>
                <w:color w:val="1F4D78"/>
                <w:sz w:val="19"/>
              </w:rPr>
              <w:t>Dato requerido</w:t>
            </w:r>
          </w:p>
        </w:tc>
        <w:tc>
          <w:tcPr>
            <w:tcW w:type="dxa" w:w="5310"/>
            <w:vAlign w:val="center"/>
            <w:tcMar>
              <w:top w:w="80" w:type="dxa"/>
              <w:bottom w:w="80" w:type="dxa"/>
              <w:start w:w="120" w:type="dxa"/>
              <w:end w:w="120" w:type="dxa"/>
            </w:tcMar>
            <w:shd w:fill="F2F4F7"/>
          </w:tcPr>
          <w:p>
            <w:pPr>
              <w:spacing w:after="0" w:line="252" w:lineRule="auto"/>
            </w:pPr>
            <w:r/>
            <w:r>
              <w:rPr>
                <w:rFonts w:ascii="Arial" w:hAnsi="Arial"/>
                <w:b/>
                <w:i w:val="0"/>
                <w:color w:val="1F4D78"/>
                <w:sz w:val="19"/>
              </w:rPr>
              <w:t>Motivo para conservarlo como pendiente</w:t>
            </w:r>
          </w:p>
        </w:tc>
      </w:tr>
      <w:tr>
        <w:tc>
          <w:tcPr>
            <w:tcW w:type="dxa" w:w="1050"/>
          </w:tcPr>
          <w:p>
            <w:pPr>
              <w:spacing w:after="0" w:line="252" w:lineRule="auto"/>
            </w:pPr>
            <w:r/>
            <w:r>
              <w:rPr>
                <w:rFonts w:ascii="Arial" w:hAnsi="Arial"/>
                <w:b w:val="0"/>
                <w:i w:val="0"/>
                <w:color w:val="1F1F1F"/>
                <w:sz w:val="19"/>
              </w:rPr>
              <w:t>B04-B05</w:t>
            </w:r>
          </w:p>
        </w:tc>
        <w:tc>
          <w:tcPr>
            <w:tcW w:type="dxa" w:w="3000"/>
          </w:tcPr>
          <w:p>
            <w:pPr>
              <w:spacing w:after="0" w:line="252" w:lineRule="auto"/>
            </w:pPr>
            <w:r/>
            <w:r>
              <w:rPr>
                <w:rFonts w:ascii="Arial" w:hAnsi="Arial"/>
                <w:b w:val="0"/>
                <w:i w:val="0"/>
                <w:color w:val="1F1F1F"/>
                <w:sz w:val="19"/>
              </w:rPr>
              <w:t>Indicación, duración o respuesta a tratamiento</w:t>
            </w:r>
          </w:p>
        </w:tc>
        <w:tc>
          <w:tcPr>
            <w:tcW w:type="dxa" w:w="5310"/>
          </w:tcPr>
          <w:p>
            <w:pPr>
              <w:spacing w:after="0" w:line="252" w:lineRule="auto"/>
            </w:pPr>
            <w:r/>
            <w:r>
              <w:rPr>
                <w:rFonts w:ascii="Arial" w:hAnsi="Arial"/>
                <w:b w:val="0"/>
                <w:i w:val="0"/>
                <w:color w:val="1F1F1F"/>
                <w:sz w:val="19"/>
              </w:rPr>
              <w:t>Son hechos de prescripción y respuesta terapéutica; no diagnósticos crónicos.</w:t>
            </w:r>
          </w:p>
        </w:tc>
      </w:tr>
      <w:tr>
        <w:tc>
          <w:tcPr>
            <w:tcW w:type="dxa" w:w="1050"/>
          </w:tcPr>
          <w:p>
            <w:pPr>
              <w:spacing w:after="0" w:line="252" w:lineRule="auto"/>
            </w:pPr>
            <w:r/>
            <w:r>
              <w:rPr>
                <w:rFonts w:ascii="Arial" w:hAnsi="Arial"/>
                <w:b w:val="0"/>
                <w:i w:val="0"/>
                <w:color w:val="1F1F1F"/>
                <w:sz w:val="19"/>
              </w:rPr>
              <w:t>B07</w:t>
            </w:r>
          </w:p>
        </w:tc>
        <w:tc>
          <w:tcPr>
            <w:tcW w:type="dxa" w:w="3000"/>
          </w:tcPr>
          <w:p>
            <w:pPr>
              <w:spacing w:after="0" w:line="252" w:lineRule="auto"/>
            </w:pPr>
            <w:r/>
            <w:r>
              <w:rPr>
                <w:rFonts w:ascii="Arial" w:hAnsi="Arial"/>
                <w:b w:val="0"/>
                <w:i w:val="0"/>
                <w:color w:val="1F1F1F"/>
                <w:sz w:val="19"/>
              </w:rPr>
              <w:t>Antecedente de úlcera péptica</w:t>
            </w:r>
          </w:p>
        </w:tc>
        <w:tc>
          <w:tcPr>
            <w:tcW w:type="dxa" w:w="5310"/>
          </w:tcPr>
          <w:p>
            <w:pPr>
              <w:spacing w:after="0" w:line="252" w:lineRule="auto"/>
            </w:pPr>
            <w:r/>
            <w:r>
              <w:rPr>
                <w:rFonts w:ascii="Arial" w:hAnsi="Arial"/>
                <w:b w:val="0"/>
                <w:i w:val="0"/>
                <w:color w:val="1F1F1F"/>
                <w:sz w:val="19"/>
              </w:rPr>
              <w:t>Es antecedente clínico, no una enfermedad crónica; puede constar fuera del período visible.</w:t>
            </w:r>
          </w:p>
        </w:tc>
      </w:tr>
      <w:tr>
        <w:tc>
          <w:tcPr>
            <w:tcW w:type="dxa" w:w="1050"/>
          </w:tcPr>
          <w:p>
            <w:pPr>
              <w:spacing w:after="0" w:line="252" w:lineRule="auto"/>
            </w:pPr>
            <w:r/>
            <w:r>
              <w:rPr>
                <w:rFonts w:ascii="Arial" w:hAnsi="Arial"/>
                <w:b w:val="0"/>
                <w:i w:val="0"/>
                <w:color w:val="1F1F1F"/>
                <w:sz w:val="19"/>
              </w:rPr>
              <w:t>B08-B19</w:t>
            </w:r>
          </w:p>
        </w:tc>
        <w:tc>
          <w:tcPr>
            <w:tcW w:type="dxa" w:w="3000"/>
          </w:tcPr>
          <w:p>
            <w:pPr>
              <w:spacing w:after="0" w:line="252" w:lineRule="auto"/>
            </w:pPr>
            <w:r/>
            <w:r>
              <w:rPr>
                <w:rFonts w:ascii="Arial" w:hAnsi="Arial"/>
                <w:b w:val="0"/>
                <w:i w:val="0"/>
                <w:color w:val="1F1F1F"/>
                <w:sz w:val="19"/>
              </w:rPr>
              <w:t>Depuración de creatinina (CrCl)</w:t>
            </w:r>
          </w:p>
        </w:tc>
        <w:tc>
          <w:tcPr>
            <w:tcW w:type="dxa" w:w="5310"/>
          </w:tcPr>
          <w:p>
            <w:pPr>
              <w:spacing w:after="0" w:line="252" w:lineRule="auto"/>
            </w:pPr>
            <w:r/>
            <w:r>
              <w:rPr>
                <w:rFonts w:ascii="Arial" w:hAnsi="Arial"/>
                <w:b w:val="0"/>
                <w:i w:val="0"/>
                <w:color w:val="1F1F1F"/>
                <w:sz w:val="19"/>
              </w:rPr>
              <w:t>Es un dato de laboratorio recuperable y variable; no debe inferirse desde la ausencia de ERC.</w:t>
            </w:r>
          </w:p>
        </w:tc>
      </w:tr>
      <w:tr>
        <w:tc>
          <w:tcPr>
            <w:tcW w:type="dxa" w:w="1050"/>
          </w:tcPr>
          <w:p>
            <w:pPr>
              <w:spacing w:after="0" w:line="252" w:lineRule="auto"/>
            </w:pPr>
            <w:r/>
            <w:r>
              <w:rPr>
                <w:rFonts w:ascii="Arial" w:hAnsi="Arial"/>
                <w:b w:val="0"/>
                <w:i w:val="0"/>
                <w:color w:val="1F1F1F"/>
                <w:sz w:val="19"/>
              </w:rPr>
              <w:t>B12</w:t>
            </w:r>
          </w:p>
        </w:tc>
        <w:tc>
          <w:tcPr>
            <w:tcW w:type="dxa" w:w="3000"/>
          </w:tcPr>
          <w:p>
            <w:pPr>
              <w:spacing w:after="0" w:line="252" w:lineRule="auto"/>
            </w:pPr>
            <w:r/>
            <w:r>
              <w:rPr>
                <w:rFonts w:ascii="Arial" w:hAnsi="Arial"/>
                <w:b w:val="0"/>
                <w:i w:val="0"/>
                <w:color w:val="1F1F1F"/>
                <w:sz w:val="19"/>
              </w:rPr>
              <w:t>Delirium</w:t>
            </w:r>
          </w:p>
        </w:tc>
        <w:tc>
          <w:tcPr>
            <w:tcW w:type="dxa" w:w="5310"/>
          </w:tcPr>
          <w:p>
            <w:pPr>
              <w:spacing w:after="0" w:line="252" w:lineRule="auto"/>
            </w:pPr>
            <w:r/>
            <w:r>
              <w:rPr>
                <w:rFonts w:ascii="Arial" w:hAnsi="Arial"/>
                <w:b w:val="0"/>
                <w:i w:val="0"/>
                <w:color w:val="1F1F1F"/>
                <w:sz w:val="19"/>
              </w:rPr>
              <w:t>Es una condición aguda.</w:t>
            </w:r>
          </w:p>
        </w:tc>
      </w:tr>
      <w:tr>
        <w:tc>
          <w:tcPr>
            <w:tcW w:type="dxa" w:w="1050"/>
          </w:tcPr>
          <w:p>
            <w:pPr>
              <w:spacing w:after="0" w:line="252" w:lineRule="auto"/>
            </w:pPr>
            <w:r/>
            <w:r>
              <w:rPr>
                <w:rFonts w:ascii="Arial" w:hAnsi="Arial"/>
                <w:b w:val="0"/>
                <w:i w:val="0"/>
                <w:color w:val="1F1F1F"/>
                <w:sz w:val="19"/>
              </w:rPr>
              <w:t>B14</w:t>
            </w:r>
          </w:p>
        </w:tc>
        <w:tc>
          <w:tcPr>
            <w:tcW w:type="dxa" w:w="3000"/>
          </w:tcPr>
          <w:p>
            <w:pPr>
              <w:spacing w:after="0" w:line="252" w:lineRule="auto"/>
            </w:pPr>
            <w:r/>
            <w:r>
              <w:rPr>
                <w:rFonts w:ascii="Arial" w:hAnsi="Arial"/>
                <w:b w:val="0"/>
                <w:i w:val="0"/>
                <w:color w:val="1F1F1F"/>
                <w:sz w:val="19"/>
              </w:rPr>
              <w:t>Antecedente de caídas</w:t>
            </w:r>
          </w:p>
        </w:tc>
        <w:tc>
          <w:tcPr>
            <w:tcW w:type="dxa" w:w="5310"/>
          </w:tcPr>
          <w:p>
            <w:pPr>
              <w:spacing w:after="0" w:line="252" w:lineRule="auto"/>
            </w:pPr>
            <w:r/>
            <w:r>
              <w:rPr>
                <w:rFonts w:ascii="Arial" w:hAnsi="Arial"/>
                <w:b w:val="0"/>
                <w:i w:val="0"/>
                <w:color w:val="1F1F1F"/>
                <w:sz w:val="19"/>
              </w:rPr>
              <w:t>Es un antecedente de riesgo, no una enfermedad crónica.</w:t>
            </w:r>
          </w:p>
        </w:tc>
      </w:tr>
    </w:tbl>
    <w:p>
      <w:pPr>
        <w:spacing w:before="240" w:after="120"/>
      </w:pPr>
      <w:r>
        <w:rPr>
          <w:rFonts w:ascii="Arial" w:hAnsi="Arial"/>
          <w:b/>
          <w:i w:val="0"/>
          <w:color w:val="2E74B5"/>
          <w:sz w:val="32"/>
        </w:rPr>
        <w:t>5. Plan de acción propuesto (sin implementar aún)</w:t>
      </w:r>
    </w:p>
    <w:p>
      <w:pPr>
        <w:pStyle w:val="ListNumber"/>
        <w:spacing w:after="80" w:line="264" w:lineRule="auto"/>
      </w:pPr>
      <w:r>
        <w:rPr>
          <w:rFonts w:ascii="Arial" w:hAnsi="Arial"/>
          <w:b/>
          <w:i w:val="0"/>
          <w:color w:val="1F4D78"/>
          <w:sz w:val="22"/>
        </w:rPr>
        <w:t xml:space="preserve">1. Confirmar la fuente: </w:t>
      </w:r>
      <w:r>
        <w:rPr>
          <w:rFonts w:ascii="Arial" w:hAnsi="Arial"/>
          <w:b w:val="0"/>
          <w:i w:val="0"/>
          <w:color w:val="1F1F1F"/>
          <w:sz w:val="22"/>
        </w:rPr>
        <w:t>Validar con ESSI y el Dr. Armando que los diagnósticos disponibles representan historia longitudinal completa hasta 2025, no solo atenciones del año 2025.</w:t>
      </w:r>
    </w:p>
    <w:p>
      <w:pPr>
        <w:pStyle w:val="ListNumber"/>
        <w:spacing w:after="80" w:line="264" w:lineRule="auto"/>
      </w:pPr>
      <w:r>
        <w:rPr>
          <w:rFonts w:ascii="Arial" w:hAnsi="Arial"/>
          <w:b/>
          <w:i w:val="0"/>
          <w:color w:val="1F4D78"/>
          <w:sz w:val="22"/>
        </w:rPr>
        <w:t xml:space="preserve">2. Definir la política clínica: </w:t>
      </w:r>
      <w:r>
        <w:rPr>
          <w:rFonts w:ascii="Arial" w:hAnsi="Arial"/>
          <w:b w:val="0"/>
          <w:i w:val="0"/>
          <w:color w:val="1F1F1F"/>
          <w:sz w:val="22"/>
        </w:rPr>
        <w:t>Aprobar que la ausencia de evidencia longitudinal de una enfermedad crónica específica se interprete como “no aplicable en la fuente histórica”, no como ausencia clínica absoluta.</w:t>
      </w:r>
    </w:p>
    <w:p>
      <w:pPr>
        <w:pStyle w:val="ListNumber"/>
        <w:spacing w:after="80" w:line="264" w:lineRule="auto"/>
      </w:pPr>
      <w:r>
        <w:rPr>
          <w:rFonts w:ascii="Arial" w:hAnsi="Arial"/>
          <w:b/>
          <w:i w:val="0"/>
          <w:color w:val="1F4D78"/>
          <w:sz w:val="22"/>
        </w:rPr>
        <w:t xml:space="preserve">3. Ajustar el motor: </w:t>
      </w:r>
      <w:r>
        <w:rPr>
          <w:rFonts w:ascii="Arial" w:hAnsi="Arial"/>
          <w:b w:val="0"/>
          <w:i w:val="0"/>
          <w:color w:val="1F1F1F"/>
          <w:sz w:val="22"/>
        </w:rPr>
        <w:t>Para B13, cambiar el estado de not_evaluable a not_applicable cuando no haya códigos F00-F03/G30 y la fuente histórica esté confirmada. Mantener B06 como está.</w:t>
      </w:r>
    </w:p>
    <w:p>
      <w:pPr>
        <w:pStyle w:val="ListNumber"/>
        <w:spacing w:after="80" w:line="264" w:lineRule="auto"/>
      </w:pPr>
      <w:r>
        <w:rPr>
          <w:rFonts w:ascii="Arial" w:hAnsi="Arial"/>
          <w:b/>
          <w:i w:val="0"/>
          <w:color w:val="1F4D78"/>
          <w:sz w:val="22"/>
        </w:rPr>
        <w:t xml:space="preserve">4. Extender con cautela: </w:t>
      </w:r>
      <w:r>
        <w:rPr>
          <w:rFonts w:ascii="Arial" w:hAnsi="Arial"/>
          <w:b w:val="0"/>
          <w:i w:val="0"/>
          <w:color w:val="1F1F1F"/>
          <w:sz w:val="22"/>
        </w:rPr>
        <w:t>Aplicar el mismo patrón a B21 solo cuando haya combinación farmacológica de riesgo y se confirme ausencia longitudinal de ERC 3a o mayor (N18.3-N18.6).</w:t>
      </w:r>
    </w:p>
    <w:p>
      <w:pPr>
        <w:pStyle w:val="ListNumber"/>
        <w:spacing w:after="80" w:line="264" w:lineRule="auto"/>
      </w:pPr>
      <w:r>
        <w:rPr>
          <w:rFonts w:ascii="Arial" w:hAnsi="Arial"/>
          <w:b/>
          <w:i w:val="0"/>
          <w:color w:val="1F4D78"/>
          <w:sz w:val="22"/>
        </w:rPr>
        <w:t xml:space="preserve">5. Preservar trazabilidad: </w:t>
      </w:r>
      <w:r>
        <w:rPr>
          <w:rFonts w:ascii="Arial" w:hAnsi="Arial"/>
          <w:b w:val="0"/>
          <w:i w:val="0"/>
          <w:color w:val="1F1F1F"/>
          <w:sz w:val="22"/>
        </w:rPr>
        <w:t>Registrar en el detalle: fuente consultada, período, códigos buscados y razón de no aplicabilidad. No borrar el criterio del catálogo Beers.</w:t>
      </w:r>
    </w:p>
    <w:p>
      <w:pPr>
        <w:pStyle w:val="ListNumber"/>
        <w:spacing w:after="80" w:line="264" w:lineRule="auto"/>
      </w:pPr>
      <w:r>
        <w:rPr>
          <w:rFonts w:ascii="Arial" w:hAnsi="Arial"/>
          <w:b/>
          <w:i w:val="0"/>
          <w:color w:val="1F4D78"/>
          <w:sz w:val="22"/>
        </w:rPr>
        <w:t xml:space="preserve">6. Validar: </w:t>
      </w:r>
      <w:r>
        <w:rPr>
          <w:rFonts w:ascii="Arial" w:hAnsi="Arial"/>
          <w:b w:val="0"/>
          <w:i w:val="0"/>
          <w:color w:val="1F1F1F"/>
          <w:sz w:val="22"/>
        </w:rPr>
        <w:t>Ejecutar pruebas de regresión sobre los 10 casos y revisar que B08/B19, B07, B12 y B14 continúen solicitando datos cuando corresponda.</w:t>
      </w:r>
    </w:p>
    <w:p>
      <w:pPr>
        <w:spacing w:before="240" w:after="120"/>
      </w:pPr>
      <w:r>
        <w:rPr>
          <w:rFonts w:ascii="Arial" w:hAnsi="Arial"/>
          <w:b/>
          <w:i w:val="0"/>
          <w:color w:val="2E74B5"/>
          <w:sz w:val="32"/>
        </w:rPr>
        <w:t>6. Precisión metodológica</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4F6F9"/>
          </w:tcPr>
          <w:p>
            <w:pPr>
              <w:spacing w:after="0" w:line="264" w:lineRule="auto"/>
            </w:pPr>
            <w:r>
              <w:rPr>
                <w:rFonts w:ascii="Arial" w:hAnsi="Arial"/>
                <w:b/>
                <w:i w:val="0"/>
                <w:color w:val="9B1C1C"/>
                <w:sz w:val="22"/>
              </w:rPr>
              <w:t xml:space="preserve">Límite actual de la evidencia: </w:t>
            </w:r>
            <w:r>
              <w:rPr>
                <w:rFonts w:ascii="Arial" w:hAnsi="Arial"/>
                <w:b w:val="0"/>
                <w:i w:val="0"/>
                <w:color w:val="1F1F1F"/>
                <w:sz w:val="22"/>
              </w:rPr>
              <w:t>la muestra de SIGRAM se construye con observación del año 2025. La regla propuesta debe activarse únicamente después de confirmar que ESSI proporcionará antecedentes diagnósticos longitudinales completos. Sin esa confirmación, “no encontrado” solo significa “no encontrado en la fuente analizada”.</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66666"/>
        <w:sz w:val="16"/>
      </w:rPr>
      <w:t>Uso interno de investigación. No constituye una recomendación clínica.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666666"/>
        <w:sz w:val="17"/>
      </w:rPr>
      <w:t>SIGRAM-AM | Informe técnico de criterios Beers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criterios Beers y enfermedades crónicas pendientes</dc:title>
  <dc:subject>Ubicación y plan de acción sin cambios de plataforma</dc:subject>
  <dc:creator>SIGRAM-AM</dc:creator>
  <cp:keywords/>
  <dc:description>generated by python-docx</dc:description>
  <cp:lastModifiedBy/>
  <cp:revision>1</cp:revision>
  <dcterms:created xsi:type="dcterms:W3CDTF">2013-12-23T23:15:00Z</dcterms:created>
  <dcterms:modified xsi:type="dcterms:W3CDTF">2013-12-23T23:15:00Z</dcterms:modified>
  <cp:category/>
</cp:coreProperties>
</file>