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</w:pPr>
      <w:r>
        <w:rPr>
          <w:rFonts w:ascii="Calibri" w:hAnsi="Calibri"/>
          <w:b/>
          <w:color w:val="2E74B5"/>
          <w:sz w:val="24"/>
        </w:rPr>
        <w:t>LÓGICA OPERATIVA</w:t>
      </w:r>
    </w:p>
    <w:p>
      <w:r>
        <w:rPr>
          <w:rFonts w:ascii="Calibri" w:hAnsi="Calibri"/>
          <w:b/>
          <w:color w:val="0B2545"/>
          <w:sz w:val="46"/>
        </w:rPr>
        <w:t>Criterios AGS Beers B01-B23 en SIGRAM</w:t>
      </w:r>
    </w:p>
    <w:p>
      <w:r>
        <w:rPr>
          <w:rFonts w:ascii="Calibri" w:hAnsi="Calibri"/>
          <w:color w:val="5B6573"/>
          <w:sz w:val="22"/>
        </w:rPr>
        <w:t>Qué evalúa cada código, qué datos necesita y cuál es la respuesta actual del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0"/>
              </w:rPr>
              <w:t xml:space="preserve">Regla general. </w:t>
            </w:r>
            <w:r>
              <w:rPr>
                <w:rFonts w:ascii="Calibri" w:hAnsi="Calibri"/>
                <w:color w:val="7A5A00"/>
                <w:sz w:val="20"/>
              </w:rPr>
              <w:t>Un Bxx se considera solo si un medicamento del paciente está vinculado a ese código en el catálogo. Para la aplicación canónica de AGS Beers, el paciente debe tener 65 años o más.</w:t>
            </w:r>
          </w:p>
        </w:tc>
      </w:tr>
    </w:tbl>
    <w:p>
      <w:pPr>
        <w:pStyle w:val="Heading1"/>
      </w:pPr>
      <w:r>
        <w:t>Flujo de evaluación</w:t>
      </w:r>
    </w:p>
    <w:p>
      <w:pPr>
        <w:spacing w:after="40"/>
        <w:jc w:val="center"/>
      </w:pPr>
      <w:r>
        <w:rPr>
          <w:rFonts w:ascii="Calibri" w:hAnsi="Calibri"/>
          <w:b/>
          <w:color w:val="0B2545"/>
          <w:sz w:val="20"/>
        </w:rPr>
        <w:t>Medicamento ESSI</w:t>
      </w:r>
    </w:p>
    <w:p>
      <w:pPr>
        <w:spacing w:after="40"/>
        <w:jc w:val="center"/>
      </w:pPr>
      <w:r>
        <w:rPr>
          <w:rFonts w:ascii="Calibri" w:hAnsi="Calibri"/>
          <w:b w:val="0"/>
          <w:color w:val="2E74B5"/>
          <w:sz w:val="20"/>
        </w:rPr>
        <w:t>↓</w:t>
      </w:r>
    </w:p>
    <w:p>
      <w:pPr>
        <w:spacing w:after="40"/>
        <w:jc w:val="center"/>
      </w:pPr>
      <w:r>
        <w:rPr>
          <w:rFonts w:ascii="Calibri" w:hAnsi="Calibri"/>
          <w:b/>
          <w:color w:val="0B2545"/>
          <w:sz w:val="20"/>
        </w:rPr>
        <w:t>Código Bxx candidato de la tabla del Dr. Armando</w:t>
      </w:r>
    </w:p>
    <w:p>
      <w:pPr>
        <w:spacing w:after="40"/>
        <w:jc w:val="center"/>
      </w:pPr>
      <w:r>
        <w:rPr>
          <w:rFonts w:ascii="Calibri" w:hAnsi="Calibri"/>
          <w:b w:val="0"/>
          <w:color w:val="2E74B5"/>
          <w:sz w:val="20"/>
        </w:rPr>
        <w:t>↓</w:t>
      </w:r>
    </w:p>
    <w:p>
      <w:pPr>
        <w:spacing w:after="40"/>
        <w:jc w:val="center"/>
      </w:pPr>
      <w:r>
        <w:rPr>
          <w:rFonts w:ascii="Calibri" w:hAnsi="Calibri"/>
          <w:b/>
          <w:color w:val="0B2545"/>
          <w:sz w:val="20"/>
        </w:rPr>
        <w:t>Datos clínicos, antecedentes, duración y laboratorios</w:t>
      </w:r>
    </w:p>
    <w:p>
      <w:pPr>
        <w:spacing w:after="40"/>
        <w:jc w:val="center"/>
      </w:pPr>
      <w:r>
        <w:rPr>
          <w:rFonts w:ascii="Calibri" w:hAnsi="Calibri"/>
          <w:b w:val="0"/>
          <w:color w:val="2E74B5"/>
          <w:sz w:val="20"/>
        </w:rPr>
        <w:t>↓</w:t>
      </w:r>
    </w:p>
    <w:p>
      <w:pPr>
        <w:spacing w:after="40"/>
        <w:jc w:val="center"/>
      </w:pPr>
      <w:r>
        <w:rPr>
          <w:rFonts w:ascii="Calibri" w:hAnsi="Calibri"/>
          <w:b/>
          <w:color w:val="0B2545"/>
          <w:sz w:val="20"/>
        </w:rPr>
        <w:t>Activado / requiere información / revisión clínica / sin hallazgo / no aplicable</w:t>
      </w:r>
    </w:p>
    <w:p>
      <w:pPr>
        <w:pStyle w:val="Heading1"/>
      </w:pPr>
      <w:r>
        <w:t>B01-B12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Código</w:t>
            </w:r>
          </w:p>
        </w:tc>
        <w:tc>
          <w:tcPr>
            <w:tcW w:type="dxa" w:w="3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Qué evalúa</w:t>
            </w:r>
          </w:p>
        </w:tc>
        <w:tc>
          <w:tcPr>
            <w:tcW w:type="dxa" w:w="5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Respuesta actual de SIGRAM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B01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Benzodiacepinas y sus excepciones clínicas.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Revisión clínica: se debe conocer indicación, duración y justificación; no se alerta automáticamente.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B02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Relajantes musculares esqueléticos, incluida orfenadrina.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Activado al detectar el medicamento del catálogo; recomendación AGS: evitar.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B03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Propiedad anticolinérgica fuerte (Tabla 7).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Clasificación de apoyo, no alerta. Sirve como insumo para B13, B14 y B18.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B04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IBP: duración e indicación de mantenimiento.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Activado si supera 8 semanas sin indicación documentada. Si faltan datos: requiere información.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B05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AINE crónico o AINE con factores de alto riesgo GI.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Requiere duración, gastroprotección y alternativas ineficaces. Se activa si hay AINE &gt;90 días o combinación de riesgo sin excepción completa.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B06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AINE en insuficiencia cardiaca.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Sin IC: no aplicable. IC sin estado: requiere información. Asintomática: precaución. Sintomática: evitar.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B07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AINE/AAS con antecedente de úlcera.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Requiere antecedente y gastroprotección. Se activa si no se documenta excepción clínica completa.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B08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AINE con CrCl &lt;30 mL/min.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Con AINE + CrCl &lt;30: activado. Sin CrCl: requiere información. TFGe no reemplaza CrCl automáticamente.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B09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Aspirina para prevención primaria frente a secundaria.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Requiere conocer finalidad preventiva; permanece en revisión clínica.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B10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Sulfonilureas: línea terapéutica, barreras y tipo de fármaco.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Revisión clínica; no se automatiza por falta de información terapéutica suficiente.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B11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Diuréticos/tramadol y SIADH o hiponatremia.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Revisión clínica; exige sodio y contexto de inicio o cambio de dosis. Recomendación: precaución.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B12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Fármacos de riesgo en delirium.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Con delirium/riesgo documentado, queda en revisión clínica para valorar indicación y excepciones.</w:t>
            </w:r>
          </w:p>
        </w:tc>
      </w:tr>
    </w:tbl>
    <w:p>
      <w:pPr>
        <w:pStyle w:val="Heading1"/>
      </w:pPr>
      <w:r>
        <w:t>B13-B23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Código</w:t>
            </w:r>
          </w:p>
        </w:tc>
        <w:tc>
          <w:tcPr>
            <w:tcW w:type="dxa" w:w="3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Qué evalúa</w:t>
            </w:r>
          </w:p>
        </w:tc>
        <w:tc>
          <w:tcPr>
            <w:tcW w:type="dxa" w:w="5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Respuesta actual de SIGRAM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B13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Anticolinérgicos fuertes o benzodiacepinas en demencia/deterioro cognitivo.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Revisión clínica si se documenta el contexto; B03 aporta la clasificación anticolinérgica.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B14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Fármacos de riesgo en antecedente de caídas o fracturas.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Revisión clínica; requiere antecedente y consideración de excepciones terapéuticas.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B15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Opioide + benzodiacepina.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Activado si ambas clases están activas. Se evita el falso positivo de interpretar “no opioide” como opioide.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B16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Opioide + gabapentina o pregabalina.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Activado si coexisten; reconoce la excepción de transición o reducción de opioides documentada.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B17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Tres o más fármacos activos sobre SNC.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Activado con 3+ de las clases Beers definidas; con 1-2 medicamentos: sin hallazgo. Expone los fármacos contados.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B18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Dos o más anticolinérgicos fuertes.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Activado solo con 2+ medicamentos clasificados por B03. Uno solo no activa B18.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B19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Gabapentina con CrCl &lt;60 mL/min.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Activado y recomienda reducir dosis. Sin CrCl: requiere información.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B20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Tramadol con CrCl &lt;30 mL/min y formulación.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Inmediata: reducir dosis. Prolongada: evitar. Sin CrCl o formulación: requiere información.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B21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Combinaciones SRA en ERC estadio 3a+.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Activado con ERC 3a+ confirmada más doble SRA, o SRA + amilorida/triamtereno.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B22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Litio con IECA, ARA-II o ARNI.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Revisión clínica: requiere interpretar riesgo, concentraciones de litio y monitorización.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B23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Tamsulosina con síncope/hipotensión ortostática.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Revisión clínica manual; no se presenta como “evitar” automático por evidencia limitada.</w:t>
            </w:r>
          </w:p>
        </w:tc>
      </w:tr>
    </w:tbl>
    <w:p>
      <w:pPr>
        <w:pStyle w:val="Heading1"/>
      </w:pPr>
      <w:r>
        <w:t>Resumen por tipo de respuesta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0"/>
        </w:rPr>
        <w:t>Automatizados con datos objetivos: B02, B04-B08 y B15-B21, con las condiciones y excepciones descritas.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0"/>
        </w:rPr>
        <w:t>Clasificación de apoyo: B03. Identifica una propiedad farmacológica, no un problema clínico independiente.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0"/>
        </w:rPr>
        <w:t>Revisión clínica deliberada: B01, B09-B14, B22 y B23. Son importantes, pero la información actual no permite una decisión automática segura.</w:t>
      </w:r>
    </w:p>
    <w:p>
      <w:pPr>
        <w:pStyle w:val="Heading2"/>
      </w:pPr>
      <w:r>
        <w:t>Nota de alcance</w:t>
      </w:r>
    </w:p>
    <w:p>
      <w:r>
        <w:rPr>
          <w:rFonts w:ascii="Calibri" w:hAnsi="Calibri"/>
          <w:i/>
          <w:color w:val="5B6573"/>
          <w:sz w:val="20"/>
        </w:rPr>
        <w:t>SIGRAM-AM es un sistema de tamizaje y apoyo a la revisión profesional. Un resultado Beers no constituye por sí mismo una orden de suspensión, prescripción o ajuste terapéutico.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3"/>
        <w:sz w:val="16"/>
      </w:rPr>
      <w:t>Documento de referencia clínica-operativa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6"/>
      </w:rPr>
      <w:t>SIGRAM-AM | Lógica operativa Beers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Lógica B01-B23 de SIGRAM</dc:title>
  <dc:subject/>
  <dc:creator>SIGRAM-AM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